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after="0" w:line="240" w:lineRule="auto"/>
        <w:ind w:firstLine="3975" w:firstLineChars="900"/>
        <w:jc w:val="both"/>
        <w:textAlignment w:val="auto"/>
        <w:outlineLvl w:val="0"/>
      </w:pPr>
      <w:r>
        <w:rPr>
          <w:rFonts w:ascii="黑体" w:hAnsi="黑体" w:eastAsia="黑体" w:cs="黑体"/>
          <w:b/>
          <w:color w:val="000000"/>
          <w:sz w:val="44"/>
        </w:rPr>
        <w:t>2023年部门预算信息公开目录</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textAlignment w:val="auto"/>
        <w:outlineLvl w:val="9"/>
      </w:pPr>
      <w:r>
        <w:rPr>
          <w:rFonts w:ascii="黑体" w:hAnsi="黑体" w:eastAsia="黑体" w:cs="黑体"/>
          <w:b/>
          <w:color w:val="000000"/>
          <w:sz w:val="30"/>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textAlignment w:val="auto"/>
        <w:outlineLvl w:val="9"/>
      </w:pPr>
      <w:r>
        <w:rPr>
          <w:rFonts w:ascii="方正楷体_GBK" w:hAnsi="方正楷体_GBK" w:eastAsia="方正楷体_GBK" w:cs="方正楷体_GBK"/>
          <w:b/>
          <w:color w:val="000000"/>
          <w:sz w:val="28"/>
        </w:rPr>
        <w:t>部门预算公开表</w:t>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pPr>
        <w:keepNext w:val="0"/>
        <w:keepLines w:val="0"/>
        <w:pageBreakBefore w:val="0"/>
        <w:widowControl/>
        <w:kinsoku/>
        <w:wordWrap/>
        <w:overflowPunct/>
        <w:topLinePunct w:val="0"/>
        <w:autoSpaceDE/>
        <w:autoSpaceDN/>
        <w:bidi w:val="0"/>
        <w:adjustRightInd/>
        <w:snapToGrid/>
        <w:jc w:val="both"/>
        <w:textAlignment w:val="auto"/>
      </w:pPr>
      <w:r>
        <w:fldChar w:fldCharType="end"/>
      </w: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textAlignment w:val="auto"/>
        <w:outlineLvl w:val="9"/>
      </w:pPr>
      <w:r>
        <w:rPr>
          <w:rFonts w:ascii="方正楷体_GBK" w:hAnsi="方正楷体_GBK" w:eastAsia="方正楷体_GBK" w:cs="方正楷体_GBK"/>
          <w:b/>
          <w:color w:val="000000"/>
          <w:sz w:val="28"/>
        </w:rPr>
        <w:t>部门预算信息公开情况说明</w:t>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44</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45</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45</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46</w:t>
      </w:r>
      <w:r>
        <w:fldChar w:fldCharType="end"/>
      </w:r>
      <w:r>
        <w:fldChar w:fldCharType="end"/>
      </w:r>
    </w:p>
    <w:p>
      <w:pPr>
        <w:keepNext w:val="0"/>
        <w:keepLines w:val="0"/>
        <w:pageBreakBefore w:val="0"/>
        <w:widowControl/>
        <w:kinsoku/>
        <w:wordWrap/>
        <w:overflowPunct/>
        <w:topLinePunct w:val="0"/>
        <w:autoSpaceDE/>
        <w:autoSpaceDN/>
        <w:bidi w:val="0"/>
        <w:adjustRightInd/>
        <w:snapToGrid/>
        <w:jc w:val="both"/>
        <w:textAlignment w:val="auto"/>
      </w:pPr>
      <w:r>
        <w:fldChar w:fldCharType="end"/>
      </w:r>
    </w:p>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587" w:right="1134" w:bottom="1361" w:left="1134" w:header="720" w:footer="720" w:gutter="0"/>
          <w:pgNumType w:start="1"/>
          <w:cols w:space="720" w:num="1"/>
        </w:sectPr>
      </w:pP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textAlignment w:val="auto"/>
        <w:outlineLvl w:val="9"/>
      </w:pPr>
      <w:r>
        <w:rPr>
          <w:rFonts w:ascii="方正小标宋_GBK" w:hAnsi="方正小标宋_GBK" w:eastAsia="方正小标宋_GBK" w:cs="方正小标宋_GBK"/>
          <w:color w:val="000000"/>
          <w:sz w:val="44"/>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textAlignment w:val="auto"/>
        <w:outlineLvl w:val="9"/>
      </w:pPr>
      <w:r>
        <w:rPr>
          <w:rFonts w:ascii="方正小标宋_GBK" w:hAnsi="方正小标宋_GBK" w:eastAsia="方正小标宋_GBK" w:cs="方正小标宋_GBK"/>
          <w:color w:val="000000"/>
          <w:sz w:val="44"/>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5400" w:firstLineChars="1500"/>
        <w:jc w:val="both"/>
        <w:textAlignment w:val="auto"/>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3031"/>
        <w:gridCol w:w="2400"/>
        <w:gridCol w:w="2925"/>
        <w:gridCol w:w="1260"/>
        <w:gridCol w:w="22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02" w:type="dxa"/>
            <w:gridSpan w:val="2"/>
            <w:tcBorders>
              <w:top w:val="single" w:color="FFFFFF" w:sz="6" w:space="0"/>
              <w:left w:val="single" w:color="FFFFFF" w:sz="6" w:space="0"/>
              <w:right w:val="single" w:color="FFFFFF" w:sz="6" w:space="0"/>
            </w:tcBorders>
            <w:vAlign w:val="center"/>
          </w:tcPr>
          <w:p>
            <w:pPr>
              <w:pStyle w:val="11"/>
              <w:keepNext w:val="0"/>
              <w:keepLines w:val="0"/>
              <w:pageBreakBefore w:val="0"/>
              <w:widowControl/>
              <w:kinsoku/>
              <w:wordWrap/>
              <w:overflowPunct/>
              <w:topLinePunct w:val="0"/>
              <w:autoSpaceDE/>
              <w:autoSpaceDN/>
              <w:bidi w:val="0"/>
              <w:adjustRightInd/>
              <w:snapToGrid/>
              <w:jc w:val="both"/>
              <w:textAlignment w:val="auto"/>
              <w:rPr>
                <w:rFonts w:hint="default" w:eastAsia="方正小标宋_GBK"/>
                <w:lang w:val="en-US" w:eastAsia="zh-CN"/>
              </w:rPr>
            </w:pPr>
            <w:r>
              <w:t>958霸州市东杨庄乡</w:t>
            </w:r>
            <w:r>
              <w:rPr>
                <w:rFonts w:hint="eastAsia"/>
                <w:lang w:val="en-US" w:eastAsia="zh-CN"/>
              </w:rPr>
              <w:t xml:space="preserve">      </w:t>
            </w:r>
          </w:p>
        </w:tc>
        <w:tc>
          <w:tcPr>
            <w:tcW w:w="2400" w:type="dxa"/>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ind w:firstLine="0" w:firstLineChars="0"/>
              <w:jc w:val="both"/>
              <w:textAlignment w:val="auto"/>
              <w:rPr>
                <w:rFonts w:hint="default" w:ascii="方正小标宋_GBK" w:hAnsi="方正小标宋_GBK" w:eastAsia="方正小标宋_GBK" w:cs="方正小标宋_GBK"/>
                <w:sz w:val="24"/>
                <w:szCs w:val="24"/>
                <w:lang w:val="en-US" w:eastAsia="zh-CN" w:bidi="ar-SA"/>
              </w:rPr>
            </w:pPr>
            <w:r>
              <w:t>预算年度：2023</w:t>
            </w:r>
          </w:p>
        </w:tc>
        <w:tc>
          <w:tcPr>
            <w:tcW w:w="4185"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autoSpaceDE/>
              <w:autoSpaceDN/>
              <w:bidi w:val="0"/>
              <w:adjustRightInd/>
              <w:snapToGrid/>
              <w:ind w:left="3840" w:hanging="3840" w:hangingChars="1600"/>
              <w:jc w:val="both"/>
              <w:textAlignment w:val="auto"/>
              <w:rPr>
                <w:rFonts w:hint="default" w:eastAsia="方正小标宋_GBK"/>
                <w:lang w:val="en-US" w:eastAsia="zh-CN"/>
              </w:rPr>
            </w:pPr>
            <w:r>
              <w:rPr>
                <w:rFonts w:hint="eastAsia"/>
                <w:lang w:val="en-US" w:eastAsia="zh-CN"/>
              </w:rPr>
              <w:t xml:space="preserve">                                      </w:t>
            </w:r>
            <w:r>
              <w:rPr>
                <w:rFonts w:hint="eastAsia"/>
                <w:lang w:eastAsia="zh-CN"/>
              </w:rPr>
              <w:t>单位</w:t>
            </w:r>
            <w:r>
              <w:t>：万元</w:t>
            </w:r>
          </w:p>
        </w:tc>
        <w:tc>
          <w:tcPr>
            <w:tcW w:w="2210" w:type="dxa"/>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序号</w:t>
            </w:r>
          </w:p>
        </w:tc>
        <w:tc>
          <w:tcPr>
            <w:tcW w:w="5431" w:type="dxa"/>
            <w:gridSpan w:val="2"/>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收入</w:t>
            </w:r>
          </w:p>
        </w:tc>
        <w:tc>
          <w:tcPr>
            <w:tcW w:w="4185" w:type="dxa"/>
            <w:gridSpan w:val="2"/>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支出</w:t>
            </w:r>
          </w:p>
        </w:tc>
        <w:tc>
          <w:tcPr>
            <w:tcW w:w="221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303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项  目</w:t>
            </w:r>
          </w:p>
        </w:tc>
        <w:tc>
          <w:tcPr>
            <w:tcW w:w="240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预算数</w:t>
            </w:r>
          </w:p>
        </w:tc>
        <w:tc>
          <w:tcPr>
            <w:tcW w:w="292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项  目</w:t>
            </w:r>
          </w:p>
        </w:tc>
        <w:tc>
          <w:tcPr>
            <w:tcW w:w="126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预算数</w:t>
            </w:r>
          </w:p>
        </w:tc>
        <w:tc>
          <w:tcPr>
            <w:tcW w:w="221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栏次</w:t>
            </w:r>
          </w:p>
        </w:tc>
        <w:tc>
          <w:tcPr>
            <w:tcW w:w="303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1</w:t>
            </w:r>
          </w:p>
        </w:tc>
        <w:tc>
          <w:tcPr>
            <w:tcW w:w="240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2</w:t>
            </w:r>
          </w:p>
        </w:tc>
        <w:tc>
          <w:tcPr>
            <w:tcW w:w="292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3</w:t>
            </w:r>
          </w:p>
        </w:tc>
        <w:tc>
          <w:tcPr>
            <w:tcW w:w="126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4</w:t>
            </w:r>
          </w:p>
        </w:tc>
        <w:tc>
          <w:tcPr>
            <w:tcW w:w="221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一、一般公共预算拨款收入</w:t>
            </w: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1656.50</w:t>
            </w: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一、一般公共服务支出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1040.42</w:t>
            </w: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二、政府性基金预算拨款收入</w:t>
            </w: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8.00</w:t>
            </w: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二、外交支出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三、国有资本经营预算拨款收入</w:t>
            </w: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三、国防支出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4</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四、财政专户管理资金收入</w:t>
            </w: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四、公共安全支出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5</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五、事业收入</w:t>
            </w: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五、教育支出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6</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六、事业</w:t>
            </w:r>
            <w:r>
              <w:rPr>
                <w:rFonts w:hint="eastAsia"/>
                <w:lang w:eastAsia="zh-CN"/>
              </w:rPr>
              <w:t>部门</w:t>
            </w:r>
            <w:r>
              <w:t>经营收入</w:t>
            </w: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六、科学技术支出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7</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七、上级补助收入</w:t>
            </w: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七、文化旅游体育与传媒支出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8.50</w:t>
            </w: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8</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八、附属</w:t>
            </w:r>
            <w:r>
              <w:rPr>
                <w:rFonts w:hint="eastAsia"/>
                <w:lang w:eastAsia="zh-CN"/>
              </w:rPr>
              <w:t>部门</w:t>
            </w:r>
            <w:r>
              <w:t>上缴收入</w:t>
            </w: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八、社会保障和就业支出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174.69</w:t>
            </w: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9</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九、其他收入</w:t>
            </w: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九、社会保险基金支出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10</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十、卫生健康支出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11</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十一、节能环保支出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12</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十二、城乡社区支出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37.26</w:t>
            </w: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13</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十三、农林水支出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294.86</w:t>
            </w: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14</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十四、交通运输支出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15</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十五、资源勘探工业信息等支出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16</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十六、商业服务业等支出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17</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十七、金融支出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18</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十八、援助其他地区支出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19</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十九、自然资源海洋气象等支出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20</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二十、住房保障支出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21</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二十一、粮油物资储备支出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22</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二十二、国有资本经营预算支出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23</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二十三、灾害防治及应急管理支出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24</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二十四、预备费</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25</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二十五、其他支出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26</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二十六、转移性支出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27</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二十七、债务还本支出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28</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二十八、债务付息支出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29</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二十九、债务发行费用支出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30</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三十、抗疫特别国债安排的支出</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31</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三十一、人行科目</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32</w:t>
            </w:r>
          </w:p>
        </w:tc>
        <w:tc>
          <w:tcPr>
            <w:tcW w:w="3031" w:type="dxa"/>
            <w:vAlign w:val="center"/>
          </w:tcPr>
          <w:p>
            <w:pPr>
              <w:pStyle w:val="16"/>
              <w:keepNext w:val="0"/>
              <w:keepLines w:val="0"/>
              <w:pageBreakBefore w:val="0"/>
              <w:widowControl/>
              <w:kinsoku/>
              <w:wordWrap/>
              <w:overflowPunct/>
              <w:topLinePunct w:val="0"/>
              <w:autoSpaceDE/>
              <w:autoSpaceDN/>
              <w:bidi w:val="0"/>
              <w:adjustRightInd/>
              <w:snapToGrid/>
              <w:jc w:val="both"/>
              <w:textAlignment w:val="auto"/>
            </w:pPr>
            <w:r>
              <w:t>本年收入合计</w:t>
            </w:r>
          </w:p>
        </w:tc>
        <w:tc>
          <w:tcPr>
            <w:tcW w:w="240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1664.50</w:t>
            </w:r>
          </w:p>
        </w:tc>
        <w:tc>
          <w:tcPr>
            <w:tcW w:w="2925" w:type="dxa"/>
            <w:vAlign w:val="center"/>
          </w:tcPr>
          <w:p>
            <w:pPr>
              <w:pStyle w:val="16"/>
              <w:keepNext w:val="0"/>
              <w:keepLines w:val="0"/>
              <w:pageBreakBefore w:val="0"/>
              <w:widowControl/>
              <w:kinsoku/>
              <w:wordWrap/>
              <w:overflowPunct/>
              <w:topLinePunct w:val="0"/>
              <w:autoSpaceDE/>
              <w:autoSpaceDN/>
              <w:bidi w:val="0"/>
              <w:adjustRightInd/>
              <w:snapToGrid/>
              <w:jc w:val="both"/>
              <w:textAlignment w:val="auto"/>
            </w:pPr>
            <w:r>
              <w:t>本年支出合计</w:t>
            </w:r>
          </w:p>
        </w:tc>
        <w:tc>
          <w:tcPr>
            <w:tcW w:w="126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1667.50</w:t>
            </w:r>
          </w:p>
        </w:tc>
        <w:tc>
          <w:tcPr>
            <w:tcW w:w="221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33</w:t>
            </w:r>
          </w:p>
        </w:tc>
        <w:tc>
          <w:tcPr>
            <w:tcW w:w="303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上年结转结余</w:t>
            </w:r>
          </w:p>
        </w:tc>
        <w:tc>
          <w:tcPr>
            <w:tcW w:w="24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3.00</w:t>
            </w:r>
          </w:p>
        </w:tc>
        <w:tc>
          <w:tcPr>
            <w:tcW w:w="292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年终结转结余</w:t>
            </w:r>
          </w:p>
        </w:tc>
        <w:tc>
          <w:tcPr>
            <w:tcW w:w="12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34</w:t>
            </w:r>
          </w:p>
        </w:tc>
        <w:tc>
          <w:tcPr>
            <w:tcW w:w="3031" w:type="dxa"/>
            <w:vAlign w:val="center"/>
          </w:tcPr>
          <w:p>
            <w:pPr>
              <w:pStyle w:val="16"/>
              <w:keepNext w:val="0"/>
              <w:keepLines w:val="0"/>
              <w:pageBreakBefore w:val="0"/>
              <w:widowControl/>
              <w:kinsoku/>
              <w:wordWrap/>
              <w:overflowPunct/>
              <w:topLinePunct w:val="0"/>
              <w:autoSpaceDE/>
              <w:autoSpaceDN/>
              <w:bidi w:val="0"/>
              <w:adjustRightInd/>
              <w:snapToGrid/>
              <w:jc w:val="both"/>
              <w:textAlignment w:val="auto"/>
            </w:pPr>
            <w:r>
              <w:t>收入总计</w:t>
            </w:r>
          </w:p>
        </w:tc>
        <w:tc>
          <w:tcPr>
            <w:tcW w:w="240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1667.50</w:t>
            </w:r>
          </w:p>
        </w:tc>
        <w:tc>
          <w:tcPr>
            <w:tcW w:w="2925" w:type="dxa"/>
            <w:vAlign w:val="center"/>
          </w:tcPr>
          <w:p>
            <w:pPr>
              <w:pStyle w:val="16"/>
              <w:keepNext w:val="0"/>
              <w:keepLines w:val="0"/>
              <w:pageBreakBefore w:val="0"/>
              <w:widowControl/>
              <w:kinsoku/>
              <w:wordWrap/>
              <w:overflowPunct/>
              <w:topLinePunct w:val="0"/>
              <w:autoSpaceDE/>
              <w:autoSpaceDN/>
              <w:bidi w:val="0"/>
              <w:adjustRightInd/>
              <w:snapToGrid/>
              <w:jc w:val="both"/>
              <w:textAlignment w:val="auto"/>
            </w:pPr>
            <w:r>
              <w:t>支出总计</w:t>
            </w:r>
          </w:p>
        </w:tc>
        <w:tc>
          <w:tcPr>
            <w:tcW w:w="126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1667.50</w:t>
            </w:r>
          </w:p>
        </w:tc>
        <w:tc>
          <w:tcPr>
            <w:tcW w:w="221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r>
    </w:tbl>
    <w:p>
      <w:pPr>
        <w:keepNext w:val="0"/>
        <w:keepLines w:val="0"/>
        <w:pageBreakBefore w:val="0"/>
        <w:widowControl/>
        <w:kinsoku/>
        <w:wordWrap/>
        <w:overflowPunct/>
        <w:topLinePunct w:val="0"/>
        <w:autoSpaceDE/>
        <w:autoSpaceDN/>
        <w:bidi w:val="0"/>
        <w:adjustRightInd/>
        <w:snapToGrid/>
        <w:jc w:val="both"/>
        <w:textAlignment w:val="auto"/>
        <w:sectPr>
          <w:footerReference r:id="rId3" w:type="default"/>
          <w:footerReference r:id="rId4" w:type="even"/>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line="240" w:lineRule="auto"/>
        <w:ind w:firstLine="6480" w:firstLineChars="1800"/>
        <w:jc w:val="both"/>
        <w:textAlignment w:val="auto"/>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1762"/>
        <w:gridCol w:w="1077"/>
        <w:gridCol w:w="1170"/>
        <w:gridCol w:w="1125"/>
        <w:gridCol w:w="915"/>
        <w:gridCol w:w="885"/>
        <w:gridCol w:w="735"/>
        <w:gridCol w:w="1245"/>
        <w:gridCol w:w="1410"/>
        <w:gridCol w:w="1335"/>
        <w:gridCol w:w="10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25" w:type="dxa"/>
            <w:gridSpan w:val="5"/>
            <w:tcBorders>
              <w:top w:val="single" w:color="FFFFFF" w:sz="6" w:space="0"/>
              <w:left w:val="single" w:color="FFFFFF" w:sz="6" w:space="0"/>
              <w:right w:val="single" w:color="FFFFFF" w:sz="6" w:space="0"/>
            </w:tcBorders>
            <w:vAlign w:val="center"/>
          </w:tcPr>
          <w:p>
            <w:pPr>
              <w:pStyle w:val="11"/>
              <w:keepNext w:val="0"/>
              <w:keepLines w:val="0"/>
              <w:pageBreakBefore w:val="0"/>
              <w:widowControl/>
              <w:kinsoku/>
              <w:wordWrap/>
              <w:overflowPunct/>
              <w:topLinePunct w:val="0"/>
              <w:autoSpaceDE/>
              <w:autoSpaceDN/>
              <w:bidi w:val="0"/>
              <w:adjustRightInd/>
              <w:snapToGrid/>
              <w:jc w:val="both"/>
              <w:textAlignment w:val="auto"/>
            </w:pPr>
            <w:r>
              <w:t>958霸州市东杨庄乡</w:t>
            </w:r>
          </w:p>
        </w:tc>
        <w:tc>
          <w:tcPr>
            <w:tcW w:w="2925" w:type="dxa"/>
            <w:gridSpan w:val="3"/>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jc w:val="both"/>
              <w:textAlignment w:val="auto"/>
            </w:pPr>
            <w:r>
              <w:t>预算年度：2023</w:t>
            </w:r>
          </w:p>
        </w:tc>
        <w:tc>
          <w:tcPr>
            <w:tcW w:w="5763" w:type="dxa"/>
            <w:gridSpan w:val="5"/>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autoSpaceDE/>
              <w:autoSpaceDN/>
              <w:bidi w:val="0"/>
              <w:adjustRightInd/>
              <w:snapToGrid/>
              <w:ind w:firstLine="2880" w:firstLineChars="1200"/>
              <w:jc w:val="both"/>
              <w:textAlignment w:val="auto"/>
            </w:pP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序号</w:t>
            </w:r>
          </w:p>
        </w:tc>
        <w:tc>
          <w:tcPr>
            <w:tcW w:w="2520" w:type="dxa"/>
            <w:gridSpan w:val="2"/>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功能分类科目</w:t>
            </w:r>
          </w:p>
        </w:tc>
        <w:tc>
          <w:tcPr>
            <w:tcW w:w="1077"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合计</w:t>
            </w:r>
          </w:p>
        </w:tc>
        <w:tc>
          <w:tcPr>
            <w:tcW w:w="8820" w:type="dxa"/>
            <w:gridSpan w:val="8"/>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本年收入</w:t>
            </w:r>
          </w:p>
        </w:tc>
        <w:tc>
          <w:tcPr>
            <w:tcW w:w="1038"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75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科目    编码</w:t>
            </w:r>
          </w:p>
        </w:tc>
        <w:tc>
          <w:tcPr>
            <w:tcW w:w="1762"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科目名称</w:t>
            </w:r>
          </w:p>
        </w:tc>
        <w:tc>
          <w:tcPr>
            <w:tcW w:w="1077"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117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小计</w:t>
            </w:r>
          </w:p>
        </w:tc>
        <w:tc>
          <w:tcPr>
            <w:tcW w:w="112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财政拨款 收入</w:t>
            </w:r>
          </w:p>
        </w:tc>
        <w:tc>
          <w:tcPr>
            <w:tcW w:w="91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财政专户 收入</w:t>
            </w:r>
          </w:p>
        </w:tc>
        <w:tc>
          <w:tcPr>
            <w:tcW w:w="88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事业收入</w:t>
            </w:r>
          </w:p>
        </w:tc>
        <w:tc>
          <w:tcPr>
            <w:tcW w:w="7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经营收入</w:t>
            </w:r>
          </w:p>
        </w:tc>
        <w:tc>
          <w:tcPr>
            <w:tcW w:w="124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上级补助收入</w:t>
            </w:r>
          </w:p>
        </w:tc>
        <w:tc>
          <w:tcPr>
            <w:tcW w:w="141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附属</w:t>
            </w:r>
            <w:r>
              <w:rPr>
                <w:rFonts w:hint="eastAsia"/>
                <w:lang w:eastAsia="zh-CN"/>
              </w:rPr>
              <w:t>部门</w:t>
            </w:r>
            <w:r>
              <w:t>上缴收入</w:t>
            </w:r>
          </w:p>
        </w:tc>
        <w:tc>
          <w:tcPr>
            <w:tcW w:w="13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其他收入</w:t>
            </w:r>
          </w:p>
        </w:tc>
        <w:tc>
          <w:tcPr>
            <w:tcW w:w="1038"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栏次</w:t>
            </w:r>
          </w:p>
        </w:tc>
        <w:tc>
          <w:tcPr>
            <w:tcW w:w="75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1</w:t>
            </w:r>
          </w:p>
        </w:tc>
        <w:tc>
          <w:tcPr>
            <w:tcW w:w="1762"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2</w:t>
            </w:r>
          </w:p>
        </w:tc>
        <w:tc>
          <w:tcPr>
            <w:tcW w:w="1077"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3</w:t>
            </w:r>
          </w:p>
        </w:tc>
        <w:tc>
          <w:tcPr>
            <w:tcW w:w="117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4</w:t>
            </w:r>
          </w:p>
        </w:tc>
        <w:tc>
          <w:tcPr>
            <w:tcW w:w="112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5</w:t>
            </w:r>
          </w:p>
        </w:tc>
        <w:tc>
          <w:tcPr>
            <w:tcW w:w="91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6</w:t>
            </w:r>
          </w:p>
        </w:tc>
        <w:tc>
          <w:tcPr>
            <w:tcW w:w="88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7</w:t>
            </w:r>
          </w:p>
        </w:tc>
        <w:tc>
          <w:tcPr>
            <w:tcW w:w="7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8</w:t>
            </w:r>
          </w:p>
        </w:tc>
        <w:tc>
          <w:tcPr>
            <w:tcW w:w="124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9</w:t>
            </w:r>
          </w:p>
        </w:tc>
        <w:tc>
          <w:tcPr>
            <w:tcW w:w="141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10</w:t>
            </w:r>
          </w:p>
        </w:tc>
        <w:tc>
          <w:tcPr>
            <w:tcW w:w="13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11</w:t>
            </w:r>
          </w:p>
        </w:tc>
        <w:tc>
          <w:tcPr>
            <w:tcW w:w="103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w:t>
            </w:r>
          </w:p>
        </w:tc>
        <w:tc>
          <w:tcPr>
            <w:tcW w:w="758" w:type="dxa"/>
            <w:vAlign w:val="center"/>
          </w:tcPr>
          <w:p>
            <w:pPr>
              <w:pStyle w:val="18"/>
              <w:keepNext w:val="0"/>
              <w:keepLines w:val="0"/>
              <w:pageBreakBefore w:val="0"/>
              <w:widowControl/>
              <w:kinsoku/>
              <w:wordWrap/>
              <w:overflowPunct/>
              <w:topLinePunct w:val="0"/>
              <w:autoSpaceDE/>
              <w:autoSpaceDN/>
              <w:bidi w:val="0"/>
              <w:adjustRightInd/>
              <w:snapToGrid/>
              <w:jc w:val="both"/>
              <w:textAlignment w:val="auto"/>
            </w:pPr>
          </w:p>
        </w:tc>
        <w:tc>
          <w:tcPr>
            <w:tcW w:w="1762" w:type="dxa"/>
            <w:vAlign w:val="center"/>
          </w:tcPr>
          <w:p>
            <w:pPr>
              <w:pStyle w:val="16"/>
              <w:keepNext w:val="0"/>
              <w:keepLines w:val="0"/>
              <w:pageBreakBefore w:val="0"/>
              <w:widowControl/>
              <w:kinsoku/>
              <w:wordWrap/>
              <w:overflowPunct/>
              <w:topLinePunct w:val="0"/>
              <w:autoSpaceDE/>
              <w:autoSpaceDN/>
              <w:bidi w:val="0"/>
              <w:adjustRightInd/>
              <w:snapToGrid/>
              <w:jc w:val="both"/>
              <w:textAlignment w:val="auto"/>
            </w:pPr>
            <w:r>
              <w:t>合计</w:t>
            </w:r>
          </w:p>
        </w:tc>
        <w:tc>
          <w:tcPr>
            <w:tcW w:w="1077"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1667.50</w:t>
            </w:r>
          </w:p>
        </w:tc>
        <w:tc>
          <w:tcPr>
            <w:tcW w:w="117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1664.50</w:t>
            </w:r>
          </w:p>
        </w:tc>
        <w:tc>
          <w:tcPr>
            <w:tcW w:w="1125"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1664.50</w:t>
            </w:r>
          </w:p>
        </w:tc>
        <w:tc>
          <w:tcPr>
            <w:tcW w:w="915"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201</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一般公共服务支出</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1040.42</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1040.42</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1040.42</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20103</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政府办公厅（室）及相关机构事务</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1040.42</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1040.42</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1040.42</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4</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2010301</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行政运行</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997.06</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997.06</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997.06</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5</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2010302</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一般行政管理事务</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16.00</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16.00</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16.00</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6</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2010308</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信访事务</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27.36</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27.36</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27.36</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7</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207</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文化旅游体育与传媒支出</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8.50</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5.50</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5.50</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8</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20799</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其他文化旅游体育与传媒支出</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8.50</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5.50</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5.50</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9</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2079999</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其他文化旅游体育与传媒支出</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8.50</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5.50</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5.50</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10</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社会保障和就业支出</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174.69</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174.69</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174.69</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11</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20805</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行政事业</w:t>
            </w:r>
            <w:r>
              <w:rPr>
                <w:rFonts w:hint="eastAsia"/>
                <w:lang w:eastAsia="zh-CN"/>
              </w:rPr>
              <w:t>部门</w:t>
            </w:r>
            <w:r>
              <w:t>养老支出</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168.69</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168.69</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168.69</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12</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2080501</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行政</w:t>
            </w:r>
            <w:r>
              <w:rPr>
                <w:rFonts w:hint="eastAsia"/>
                <w:lang w:eastAsia="zh-CN"/>
              </w:rPr>
              <w:t>部门</w:t>
            </w:r>
            <w:r>
              <w:t>离退休</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81.33</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81.33</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81.33</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13</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2080505</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机关事业</w:t>
            </w:r>
            <w:r>
              <w:rPr>
                <w:rFonts w:hint="eastAsia"/>
                <w:lang w:eastAsia="zh-CN"/>
              </w:rPr>
              <w:t>部门</w:t>
            </w:r>
            <w:r>
              <w:t>基本养老保险缴费支出</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75.41</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75.41</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75.41</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14</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2080506</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机关事业</w:t>
            </w:r>
            <w:r>
              <w:rPr>
                <w:rFonts w:hint="eastAsia"/>
                <w:lang w:eastAsia="zh-CN"/>
              </w:rPr>
              <w:t>部门</w:t>
            </w:r>
            <w:r>
              <w:t>职业年金缴费支出</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11.95</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11.95</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11.95</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15</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20808</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抚恤</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16</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2080899</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其他优抚支出</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17</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210</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卫生健康支出</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18</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21011</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行政事业</w:t>
            </w:r>
            <w:r>
              <w:rPr>
                <w:rFonts w:hint="eastAsia"/>
                <w:lang w:eastAsia="zh-CN"/>
              </w:rPr>
              <w:t>部门</w:t>
            </w:r>
            <w:r>
              <w:t>医疗</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19</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2101101</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行政</w:t>
            </w:r>
            <w:r>
              <w:rPr>
                <w:rFonts w:hint="eastAsia"/>
                <w:lang w:eastAsia="zh-CN"/>
              </w:rPr>
              <w:t>部门</w:t>
            </w:r>
            <w:r>
              <w:t>医疗</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20</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211</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节能环保支出</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21</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21103</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污染防治</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22</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2110302</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水体</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23</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212</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城乡社区支出</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37.26</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37.26</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37.26</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24</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21201</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城乡社区管理事务</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29.26</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29.26</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29.26</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25</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2120104</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城管执法</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29.26</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29.26</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29.26</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26</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21208</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国有土地使用权出让收入安排的支出</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8.00</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8.00</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8.00</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27</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2120802</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土地开发支出</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8.00</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8.00</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8.00</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28</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213</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农林水支出</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294.86</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294.86</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294.86</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29</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21301</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农业农村</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194.00</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194.00</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194.00</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30</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2130142</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农村道路建设</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194.00</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194.00</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194.00</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31</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21307</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农村综合改革</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100.86</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100.86</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100.86</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32</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2130705</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对村民委员会和村党支部的补助</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100.86</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100.86</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100.86</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33</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221</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住房保障支出</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34</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22102</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住房改革支出</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35</w:t>
            </w:r>
          </w:p>
        </w:tc>
        <w:tc>
          <w:tcPr>
            <w:tcW w:w="75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2210201</w:t>
            </w:r>
          </w:p>
        </w:tc>
        <w:tc>
          <w:tcPr>
            <w:tcW w:w="1762"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住房公积金</w:t>
            </w:r>
          </w:p>
        </w:tc>
        <w:tc>
          <w:tcPr>
            <w:tcW w:w="1077"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11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9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88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7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41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3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3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line="240" w:lineRule="auto"/>
        <w:ind w:firstLine="6120" w:firstLineChars="1700"/>
        <w:jc w:val="both"/>
        <w:textAlignment w:val="auto"/>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856"/>
        <w:gridCol w:w="2189"/>
        <w:gridCol w:w="1066"/>
        <w:gridCol w:w="1124"/>
        <w:gridCol w:w="1095"/>
        <w:gridCol w:w="1501"/>
        <w:gridCol w:w="2025"/>
        <w:gridCol w:w="22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40" w:type="dxa"/>
            <w:gridSpan w:val="3"/>
            <w:tcBorders>
              <w:top w:val="single" w:color="FFFFFF" w:sz="6" w:space="0"/>
              <w:left w:val="single" w:color="FFFFFF" w:sz="6" w:space="0"/>
              <w:right w:val="single" w:color="FFFFFF" w:sz="6" w:space="0"/>
            </w:tcBorders>
            <w:vAlign w:val="center"/>
          </w:tcPr>
          <w:p>
            <w:pPr>
              <w:pStyle w:val="11"/>
              <w:keepNext w:val="0"/>
              <w:keepLines w:val="0"/>
              <w:pageBreakBefore w:val="0"/>
              <w:widowControl/>
              <w:kinsoku/>
              <w:wordWrap/>
              <w:overflowPunct/>
              <w:topLinePunct w:val="0"/>
              <w:autoSpaceDE/>
              <w:autoSpaceDN/>
              <w:bidi w:val="0"/>
              <w:adjustRightInd/>
              <w:snapToGrid/>
              <w:jc w:val="both"/>
              <w:textAlignment w:val="auto"/>
            </w:pPr>
            <w:r>
              <w:t>958霸州市东杨庄乡</w:t>
            </w:r>
          </w:p>
        </w:tc>
        <w:tc>
          <w:tcPr>
            <w:tcW w:w="2190" w:type="dxa"/>
            <w:gridSpan w:val="2"/>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jc w:val="both"/>
              <w:textAlignment w:val="auto"/>
            </w:pPr>
            <w:r>
              <w:t>预算年度：2023</w:t>
            </w:r>
          </w:p>
        </w:tc>
        <w:tc>
          <w:tcPr>
            <w:tcW w:w="6886" w:type="dxa"/>
            <w:gridSpan w:val="4"/>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autoSpaceDE/>
              <w:autoSpaceDN/>
              <w:bidi w:val="0"/>
              <w:adjustRightInd/>
              <w:snapToGrid/>
              <w:ind w:firstLine="4080" w:firstLineChars="1700"/>
              <w:jc w:val="both"/>
              <w:textAlignment w:val="auto"/>
            </w:pP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序号</w:t>
            </w:r>
          </w:p>
        </w:tc>
        <w:tc>
          <w:tcPr>
            <w:tcW w:w="3045" w:type="dxa"/>
            <w:gridSpan w:val="2"/>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功能分类科目</w:t>
            </w:r>
          </w:p>
        </w:tc>
        <w:tc>
          <w:tcPr>
            <w:tcW w:w="1066"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合计</w:t>
            </w:r>
          </w:p>
        </w:tc>
        <w:tc>
          <w:tcPr>
            <w:tcW w:w="1124"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基本支出</w:t>
            </w:r>
          </w:p>
        </w:tc>
        <w:tc>
          <w:tcPr>
            <w:tcW w:w="1095"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项目支出</w:t>
            </w:r>
          </w:p>
        </w:tc>
        <w:tc>
          <w:tcPr>
            <w:tcW w:w="1501"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经营支出</w:t>
            </w:r>
          </w:p>
        </w:tc>
        <w:tc>
          <w:tcPr>
            <w:tcW w:w="2025"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上解上级     支出</w:t>
            </w:r>
          </w:p>
        </w:tc>
        <w:tc>
          <w:tcPr>
            <w:tcW w:w="2265"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对附属</w:t>
            </w:r>
            <w:r>
              <w:rPr>
                <w:rFonts w:hint="eastAsia"/>
                <w:lang w:eastAsia="zh-CN"/>
              </w:rPr>
              <w:t>部门</w:t>
            </w:r>
            <w:r>
              <w:t>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856"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科目    编码</w:t>
            </w:r>
          </w:p>
        </w:tc>
        <w:tc>
          <w:tcPr>
            <w:tcW w:w="2189"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科目名称</w:t>
            </w:r>
          </w:p>
        </w:tc>
        <w:tc>
          <w:tcPr>
            <w:tcW w:w="1066"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1124"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1095"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1501"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2025"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2265"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栏次</w:t>
            </w:r>
          </w:p>
        </w:tc>
        <w:tc>
          <w:tcPr>
            <w:tcW w:w="856"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1</w:t>
            </w:r>
          </w:p>
        </w:tc>
        <w:tc>
          <w:tcPr>
            <w:tcW w:w="2189"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2</w:t>
            </w:r>
          </w:p>
        </w:tc>
        <w:tc>
          <w:tcPr>
            <w:tcW w:w="1066"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3</w:t>
            </w:r>
          </w:p>
        </w:tc>
        <w:tc>
          <w:tcPr>
            <w:tcW w:w="112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4</w:t>
            </w:r>
          </w:p>
        </w:tc>
        <w:tc>
          <w:tcPr>
            <w:tcW w:w="109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5</w:t>
            </w:r>
          </w:p>
        </w:tc>
        <w:tc>
          <w:tcPr>
            <w:tcW w:w="150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6</w:t>
            </w:r>
          </w:p>
        </w:tc>
        <w:tc>
          <w:tcPr>
            <w:tcW w:w="202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7</w:t>
            </w:r>
          </w:p>
        </w:tc>
        <w:tc>
          <w:tcPr>
            <w:tcW w:w="226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w:t>
            </w:r>
          </w:p>
        </w:tc>
        <w:tc>
          <w:tcPr>
            <w:tcW w:w="856" w:type="dxa"/>
            <w:vAlign w:val="center"/>
          </w:tcPr>
          <w:p>
            <w:pPr>
              <w:pStyle w:val="18"/>
              <w:keepNext w:val="0"/>
              <w:keepLines w:val="0"/>
              <w:pageBreakBefore w:val="0"/>
              <w:widowControl/>
              <w:kinsoku/>
              <w:wordWrap/>
              <w:overflowPunct/>
              <w:topLinePunct w:val="0"/>
              <w:autoSpaceDE/>
              <w:autoSpaceDN/>
              <w:bidi w:val="0"/>
              <w:adjustRightInd/>
              <w:snapToGrid/>
              <w:jc w:val="both"/>
              <w:textAlignment w:val="auto"/>
            </w:pPr>
          </w:p>
        </w:tc>
        <w:tc>
          <w:tcPr>
            <w:tcW w:w="2189" w:type="dxa"/>
            <w:vAlign w:val="center"/>
          </w:tcPr>
          <w:p>
            <w:pPr>
              <w:pStyle w:val="16"/>
              <w:keepNext w:val="0"/>
              <w:keepLines w:val="0"/>
              <w:pageBreakBefore w:val="0"/>
              <w:widowControl/>
              <w:kinsoku/>
              <w:wordWrap/>
              <w:overflowPunct/>
              <w:topLinePunct w:val="0"/>
              <w:autoSpaceDE/>
              <w:autoSpaceDN/>
              <w:bidi w:val="0"/>
              <w:adjustRightInd/>
              <w:snapToGrid/>
              <w:jc w:val="both"/>
              <w:textAlignment w:val="auto"/>
            </w:pPr>
            <w:r>
              <w:t>合计</w:t>
            </w:r>
          </w:p>
        </w:tc>
        <w:tc>
          <w:tcPr>
            <w:tcW w:w="1066"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1667.50</w:t>
            </w:r>
          </w:p>
        </w:tc>
        <w:tc>
          <w:tcPr>
            <w:tcW w:w="112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1253.82</w:t>
            </w:r>
          </w:p>
        </w:tc>
        <w:tc>
          <w:tcPr>
            <w:tcW w:w="1095"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413.68</w:t>
            </w:r>
          </w:p>
        </w:tc>
        <w:tc>
          <w:tcPr>
            <w:tcW w:w="1501"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201</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一般公共服务支出</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1040.42</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997.06</w:t>
            </w: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43.36</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20103</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政府办公厅（室）及相关机构事务</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1040.42</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997.06</w:t>
            </w: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43.36</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4</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2010301</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行政运行</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997.06</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997.06</w:t>
            </w: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5</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2010302</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一般行政管理事务</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16.00</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16.00</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6</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2010308</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信访事务</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27.36</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27.36</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7</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207</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文化旅游体育与传媒支出</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8.50</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8.50</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8</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20799</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其他文化旅游体育与传媒支出</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8.50</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8.50</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9</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2079999</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其他文化旅游体育与传媒支出</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8.50</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8.50</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10</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社会保障和就业支出</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174.69</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168.69</w:t>
            </w: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11</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20805</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行政事业</w:t>
            </w:r>
            <w:r>
              <w:rPr>
                <w:rFonts w:hint="eastAsia"/>
                <w:lang w:eastAsia="zh-CN"/>
              </w:rPr>
              <w:t>部门</w:t>
            </w:r>
            <w:r>
              <w:t>养老支出</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168.69</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168.69</w:t>
            </w: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12</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2080501</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行政</w:t>
            </w:r>
            <w:r>
              <w:rPr>
                <w:rFonts w:hint="eastAsia"/>
                <w:lang w:eastAsia="zh-CN"/>
              </w:rPr>
              <w:t>部门</w:t>
            </w:r>
            <w:r>
              <w:t>离退休</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81.33</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81.33</w:t>
            </w: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13</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2080505</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机关事业</w:t>
            </w:r>
            <w:r>
              <w:rPr>
                <w:rFonts w:hint="eastAsia"/>
                <w:lang w:eastAsia="zh-CN"/>
              </w:rPr>
              <w:t>部门</w:t>
            </w:r>
            <w:r>
              <w:t>基本养老保险缴费支出</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75.41</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75.41</w:t>
            </w: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14</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2080506</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机关事业</w:t>
            </w:r>
            <w:r>
              <w:rPr>
                <w:rFonts w:hint="eastAsia"/>
                <w:lang w:eastAsia="zh-CN"/>
              </w:rPr>
              <w:t>部门</w:t>
            </w:r>
            <w:r>
              <w:t>职业年金缴费支出</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11.95</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11.95</w:t>
            </w: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15</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20808</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抚恤</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16</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2080899</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其他优抚支出</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17</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210</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卫生健康支出</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18</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21011</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行政事业</w:t>
            </w:r>
            <w:r>
              <w:rPr>
                <w:rFonts w:hint="eastAsia"/>
                <w:lang w:eastAsia="zh-CN"/>
              </w:rPr>
              <w:t>部门</w:t>
            </w:r>
            <w:r>
              <w:t>医疗</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19</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2101101</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行政</w:t>
            </w:r>
            <w:r>
              <w:rPr>
                <w:rFonts w:hint="eastAsia"/>
                <w:lang w:eastAsia="zh-CN"/>
              </w:rPr>
              <w:t>部门</w:t>
            </w:r>
            <w:r>
              <w:t>医疗</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20</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211</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节能环保支出</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21</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21103</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污染防治</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22</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2110302</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水体</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23</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212</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城乡社区支出</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37.26</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37.26</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24</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21201</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城乡社区管理事务</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29.26</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29.26</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25</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2120104</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城管执法</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29.26</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29.26</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26</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21208</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国有土地使用权出让收入安排的支出</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8.00</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8.00</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27</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2120802</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土地开发支出</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8.00</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8.00</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28</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213</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农林水支出</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294.86</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294.86</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29</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21301</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农业农村</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194.00</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194.00</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30</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2130142</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农村道路建设</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194.00</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194.00</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31</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21307</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农村综合改革</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100.86</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100.86</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32</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2130705</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对村民委员会和村党支部的补助</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100.86</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100.86</w:t>
            </w: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33</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221</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住房保障支出</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34</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22102</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住房改革支出</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35</w:t>
            </w:r>
          </w:p>
        </w:tc>
        <w:tc>
          <w:tcPr>
            <w:tcW w:w="856"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2210201</w:t>
            </w:r>
          </w:p>
        </w:tc>
        <w:tc>
          <w:tcPr>
            <w:tcW w:w="218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住房公积金</w:t>
            </w:r>
          </w:p>
        </w:tc>
        <w:tc>
          <w:tcPr>
            <w:tcW w:w="1066"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112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109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0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line="240" w:lineRule="auto"/>
        <w:ind w:firstLine="3960" w:firstLineChars="1100"/>
        <w:jc w:val="both"/>
        <w:textAlignment w:val="auto"/>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2224"/>
        <w:gridCol w:w="1623"/>
        <w:gridCol w:w="2163"/>
        <w:gridCol w:w="1125"/>
        <w:gridCol w:w="1320"/>
        <w:gridCol w:w="1560"/>
        <w:gridCol w:w="1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79" w:type="dxa"/>
            <w:gridSpan w:val="3"/>
            <w:tcBorders>
              <w:top w:val="single" w:color="FFFFFF" w:sz="6" w:space="0"/>
              <w:left w:val="single" w:color="FFFFFF" w:sz="6" w:space="0"/>
              <w:right w:val="single" w:color="FFFFFF" w:sz="6" w:space="0"/>
            </w:tcBorders>
            <w:vAlign w:val="center"/>
          </w:tcPr>
          <w:p>
            <w:pPr>
              <w:pStyle w:val="11"/>
              <w:keepNext w:val="0"/>
              <w:keepLines w:val="0"/>
              <w:pageBreakBefore w:val="0"/>
              <w:widowControl/>
              <w:kinsoku/>
              <w:wordWrap/>
              <w:overflowPunct/>
              <w:topLinePunct w:val="0"/>
              <w:autoSpaceDE/>
              <w:autoSpaceDN/>
              <w:bidi w:val="0"/>
              <w:adjustRightInd/>
              <w:snapToGrid/>
              <w:jc w:val="both"/>
              <w:textAlignment w:val="auto"/>
            </w:pPr>
            <w:r>
              <w:t>958霸州市东杨庄乡</w:t>
            </w:r>
          </w:p>
        </w:tc>
        <w:tc>
          <w:tcPr>
            <w:tcW w:w="2163" w:type="dxa"/>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jc w:val="both"/>
              <w:textAlignment w:val="auto"/>
            </w:pPr>
            <w:r>
              <w:t>预算年度：2023</w:t>
            </w:r>
          </w:p>
        </w:tc>
        <w:tc>
          <w:tcPr>
            <w:tcW w:w="5725" w:type="dxa"/>
            <w:gridSpan w:val="4"/>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autoSpaceDE/>
              <w:autoSpaceDN/>
              <w:bidi w:val="0"/>
              <w:adjustRightInd/>
              <w:snapToGrid/>
              <w:ind w:firstLine="3360" w:firstLineChars="1400"/>
              <w:jc w:val="both"/>
              <w:textAlignment w:val="auto"/>
            </w:pP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序号</w:t>
            </w:r>
          </w:p>
        </w:tc>
        <w:tc>
          <w:tcPr>
            <w:tcW w:w="3847" w:type="dxa"/>
            <w:gridSpan w:val="2"/>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收入</w:t>
            </w:r>
          </w:p>
        </w:tc>
        <w:tc>
          <w:tcPr>
            <w:tcW w:w="7888" w:type="dxa"/>
            <w:gridSpan w:val="5"/>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222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项  目</w:t>
            </w:r>
          </w:p>
        </w:tc>
        <w:tc>
          <w:tcPr>
            <w:tcW w:w="162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金额</w:t>
            </w:r>
          </w:p>
        </w:tc>
        <w:tc>
          <w:tcPr>
            <w:tcW w:w="216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项  目</w:t>
            </w:r>
          </w:p>
        </w:tc>
        <w:tc>
          <w:tcPr>
            <w:tcW w:w="112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合计</w:t>
            </w:r>
          </w:p>
        </w:tc>
        <w:tc>
          <w:tcPr>
            <w:tcW w:w="132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一般公共预算财政拨款</w:t>
            </w:r>
          </w:p>
        </w:tc>
        <w:tc>
          <w:tcPr>
            <w:tcW w:w="156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政府性基金预算财政    拨款</w:t>
            </w:r>
          </w:p>
        </w:tc>
        <w:tc>
          <w:tcPr>
            <w:tcW w:w="172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栏次</w:t>
            </w:r>
          </w:p>
        </w:tc>
        <w:tc>
          <w:tcPr>
            <w:tcW w:w="222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1</w:t>
            </w:r>
          </w:p>
        </w:tc>
        <w:tc>
          <w:tcPr>
            <w:tcW w:w="162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2</w:t>
            </w:r>
          </w:p>
        </w:tc>
        <w:tc>
          <w:tcPr>
            <w:tcW w:w="216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3</w:t>
            </w:r>
          </w:p>
        </w:tc>
        <w:tc>
          <w:tcPr>
            <w:tcW w:w="112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4</w:t>
            </w:r>
          </w:p>
        </w:tc>
        <w:tc>
          <w:tcPr>
            <w:tcW w:w="132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5</w:t>
            </w:r>
          </w:p>
        </w:tc>
        <w:tc>
          <w:tcPr>
            <w:tcW w:w="156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6</w:t>
            </w:r>
          </w:p>
        </w:tc>
        <w:tc>
          <w:tcPr>
            <w:tcW w:w="172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一、一般公共预算拨款</w:t>
            </w: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1656.50</w:t>
            </w: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一、一般公共服务支出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1040.42</w:t>
            </w: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1040.42</w:t>
            </w: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二、政府性基金预算拨款</w:t>
            </w: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8.00</w:t>
            </w: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二、外交支出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三、国有资本经营预算拨款</w:t>
            </w: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三、国防支出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4</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四、公共安全支出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5</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五、教育支出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6</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六、科学技术支出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7</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七、文化旅游体育与传媒支出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8.50</w:t>
            </w: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8.50</w:t>
            </w: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8</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八、社会保障和就业支出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174.69</w:t>
            </w: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174.69</w:t>
            </w: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9</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九、社会保险基金支出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10</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十、卫生健康支出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11</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十一、节能环保支出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12</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十二、城乡社区支出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37.26</w:t>
            </w: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29.26</w:t>
            </w: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8.00</w:t>
            </w: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13</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十三、农林水支出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294.86</w:t>
            </w: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294.86</w:t>
            </w: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14</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十四、交通运输支出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15</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十五、资源勘探工业信息等支出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16</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十六、商业服务业等支出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17</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十七、金融支出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18</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十八、援助其他地区支出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19</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十九、自然资源海洋气象等支出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20</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二十、住房保障支出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21</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二十一、粮油物资储备支出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22</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二十二、国有资本经营预算支出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23</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二十三、灾害防治及应急管理支出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24</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二十四、预备费</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25</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二十五、其他支出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26</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二十六、转移性支出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27</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二十七、债务还本支出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28</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二十八、债务付息支出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29</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二十九、债务发行费用支出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30</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三十、抗疫特别国债安排的支出</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31</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三十一、人行科目</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32</w:t>
            </w:r>
          </w:p>
        </w:tc>
        <w:tc>
          <w:tcPr>
            <w:tcW w:w="2224" w:type="dxa"/>
            <w:vAlign w:val="center"/>
          </w:tcPr>
          <w:p>
            <w:pPr>
              <w:pStyle w:val="16"/>
              <w:keepNext w:val="0"/>
              <w:keepLines w:val="0"/>
              <w:pageBreakBefore w:val="0"/>
              <w:widowControl/>
              <w:kinsoku/>
              <w:wordWrap/>
              <w:overflowPunct/>
              <w:topLinePunct w:val="0"/>
              <w:autoSpaceDE/>
              <w:autoSpaceDN/>
              <w:bidi w:val="0"/>
              <w:adjustRightInd/>
              <w:snapToGrid/>
              <w:jc w:val="both"/>
              <w:textAlignment w:val="auto"/>
            </w:pPr>
            <w:r>
              <w:t>本年收入合计</w:t>
            </w:r>
          </w:p>
        </w:tc>
        <w:tc>
          <w:tcPr>
            <w:tcW w:w="1623"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1664.50</w:t>
            </w:r>
          </w:p>
        </w:tc>
        <w:tc>
          <w:tcPr>
            <w:tcW w:w="2163" w:type="dxa"/>
            <w:vAlign w:val="center"/>
          </w:tcPr>
          <w:p>
            <w:pPr>
              <w:pStyle w:val="16"/>
              <w:keepNext w:val="0"/>
              <w:keepLines w:val="0"/>
              <w:pageBreakBefore w:val="0"/>
              <w:widowControl/>
              <w:kinsoku/>
              <w:wordWrap/>
              <w:overflowPunct/>
              <w:topLinePunct w:val="0"/>
              <w:autoSpaceDE/>
              <w:autoSpaceDN/>
              <w:bidi w:val="0"/>
              <w:adjustRightInd/>
              <w:snapToGrid/>
              <w:jc w:val="both"/>
              <w:textAlignment w:val="auto"/>
            </w:pPr>
            <w:r>
              <w:t>本年支出合计</w:t>
            </w:r>
          </w:p>
        </w:tc>
        <w:tc>
          <w:tcPr>
            <w:tcW w:w="1125"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1667.50</w:t>
            </w:r>
          </w:p>
        </w:tc>
        <w:tc>
          <w:tcPr>
            <w:tcW w:w="132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1659.50</w:t>
            </w:r>
          </w:p>
        </w:tc>
        <w:tc>
          <w:tcPr>
            <w:tcW w:w="156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8.00</w:t>
            </w:r>
          </w:p>
        </w:tc>
        <w:tc>
          <w:tcPr>
            <w:tcW w:w="172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33</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年初财政拨款结转和结余</w:t>
            </w: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3.00</w:t>
            </w: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年末财政拨款结转和结余</w:t>
            </w: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34</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一、一般公共预算拨款</w:t>
            </w: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3.00</w:t>
            </w: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35</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二、政府性基金预算拨款</w:t>
            </w: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36</w:t>
            </w:r>
          </w:p>
        </w:tc>
        <w:tc>
          <w:tcPr>
            <w:tcW w:w="222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三、国有资本经营预算拨款</w:t>
            </w:r>
          </w:p>
        </w:tc>
        <w:tc>
          <w:tcPr>
            <w:tcW w:w="162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16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1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3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56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72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37</w:t>
            </w:r>
          </w:p>
        </w:tc>
        <w:tc>
          <w:tcPr>
            <w:tcW w:w="2224" w:type="dxa"/>
            <w:vAlign w:val="center"/>
          </w:tcPr>
          <w:p>
            <w:pPr>
              <w:pStyle w:val="16"/>
              <w:keepNext w:val="0"/>
              <w:keepLines w:val="0"/>
              <w:pageBreakBefore w:val="0"/>
              <w:widowControl/>
              <w:kinsoku/>
              <w:wordWrap/>
              <w:overflowPunct/>
              <w:topLinePunct w:val="0"/>
              <w:autoSpaceDE/>
              <w:autoSpaceDN/>
              <w:bidi w:val="0"/>
              <w:adjustRightInd/>
              <w:snapToGrid/>
              <w:jc w:val="both"/>
              <w:textAlignment w:val="auto"/>
            </w:pPr>
            <w:r>
              <w:t>收入总计</w:t>
            </w:r>
          </w:p>
        </w:tc>
        <w:tc>
          <w:tcPr>
            <w:tcW w:w="1623"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1667.50</w:t>
            </w:r>
          </w:p>
        </w:tc>
        <w:tc>
          <w:tcPr>
            <w:tcW w:w="2163" w:type="dxa"/>
            <w:vAlign w:val="center"/>
          </w:tcPr>
          <w:p>
            <w:pPr>
              <w:pStyle w:val="16"/>
              <w:keepNext w:val="0"/>
              <w:keepLines w:val="0"/>
              <w:pageBreakBefore w:val="0"/>
              <w:widowControl/>
              <w:kinsoku/>
              <w:wordWrap/>
              <w:overflowPunct/>
              <w:topLinePunct w:val="0"/>
              <w:autoSpaceDE/>
              <w:autoSpaceDN/>
              <w:bidi w:val="0"/>
              <w:adjustRightInd/>
              <w:snapToGrid/>
              <w:jc w:val="both"/>
              <w:textAlignment w:val="auto"/>
            </w:pPr>
            <w:r>
              <w:t>支出总计</w:t>
            </w:r>
          </w:p>
        </w:tc>
        <w:tc>
          <w:tcPr>
            <w:tcW w:w="1125"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1667.50</w:t>
            </w:r>
          </w:p>
        </w:tc>
        <w:tc>
          <w:tcPr>
            <w:tcW w:w="132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1659.50</w:t>
            </w:r>
          </w:p>
        </w:tc>
        <w:tc>
          <w:tcPr>
            <w:tcW w:w="156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8.00</w:t>
            </w:r>
          </w:p>
        </w:tc>
        <w:tc>
          <w:tcPr>
            <w:tcW w:w="172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line="240" w:lineRule="auto"/>
        <w:ind w:firstLine="4680" w:firstLineChars="1300"/>
        <w:jc w:val="both"/>
        <w:textAlignment w:val="auto"/>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701"/>
        <w:gridCol w:w="2265"/>
        <w:gridCol w:w="1755"/>
        <w:gridCol w:w="2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95" w:hRule="atLeast"/>
          <w:tblHeader/>
          <w:jc w:val="center"/>
        </w:trPr>
        <w:tc>
          <w:tcPr>
            <w:tcW w:w="5987" w:type="dxa"/>
            <w:gridSpan w:val="3"/>
            <w:tcBorders>
              <w:top w:val="single" w:color="FFFFFF" w:sz="6" w:space="0"/>
              <w:left w:val="single" w:color="FFFFFF" w:sz="6" w:space="0"/>
              <w:right w:val="single" w:color="FFFFFF" w:sz="6" w:space="0"/>
            </w:tcBorders>
            <w:vAlign w:val="center"/>
          </w:tcPr>
          <w:p>
            <w:pPr>
              <w:pStyle w:val="11"/>
              <w:keepNext w:val="0"/>
              <w:keepLines w:val="0"/>
              <w:pageBreakBefore w:val="0"/>
              <w:widowControl/>
              <w:kinsoku/>
              <w:wordWrap/>
              <w:overflowPunct/>
              <w:topLinePunct w:val="0"/>
              <w:autoSpaceDE/>
              <w:autoSpaceDN/>
              <w:bidi w:val="0"/>
              <w:adjustRightInd/>
              <w:snapToGrid/>
              <w:jc w:val="both"/>
              <w:textAlignment w:val="auto"/>
            </w:pPr>
            <w:r>
              <w:t>958霸州市东杨庄乡</w:t>
            </w:r>
          </w:p>
        </w:tc>
        <w:tc>
          <w:tcPr>
            <w:tcW w:w="2265" w:type="dxa"/>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jc w:val="both"/>
              <w:textAlignment w:val="auto"/>
              <w:rPr>
                <w:rFonts w:hint="default" w:eastAsia="方正小标宋_GBK"/>
                <w:lang w:val="en-US" w:eastAsia="zh-CN"/>
              </w:rPr>
            </w:pPr>
            <w:r>
              <w:t>预算年度：2023</w:t>
            </w:r>
            <w:r>
              <w:rPr>
                <w:rFonts w:hint="eastAsia"/>
                <w:lang w:val="en-US" w:eastAsia="zh-CN"/>
              </w:rPr>
              <w:t xml:space="preserve">      </w:t>
            </w:r>
          </w:p>
        </w:tc>
        <w:tc>
          <w:tcPr>
            <w:tcW w:w="3795"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autoSpaceDE/>
              <w:autoSpaceDN/>
              <w:bidi w:val="0"/>
              <w:adjustRightInd/>
              <w:snapToGrid/>
              <w:ind w:firstLine="960" w:firstLineChars="400"/>
              <w:jc w:val="both"/>
              <w:textAlignment w:val="auto"/>
            </w:pP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序号</w:t>
            </w:r>
          </w:p>
        </w:tc>
        <w:tc>
          <w:tcPr>
            <w:tcW w:w="4344" w:type="dxa"/>
            <w:gridSpan w:val="2"/>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功能分类科目</w:t>
            </w:r>
          </w:p>
        </w:tc>
        <w:tc>
          <w:tcPr>
            <w:tcW w:w="2265"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合计</w:t>
            </w:r>
          </w:p>
        </w:tc>
        <w:tc>
          <w:tcPr>
            <w:tcW w:w="1755"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基本支出</w:t>
            </w:r>
          </w:p>
        </w:tc>
        <w:tc>
          <w:tcPr>
            <w:tcW w:w="2040"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科目编码</w:t>
            </w:r>
          </w:p>
        </w:tc>
        <w:tc>
          <w:tcPr>
            <w:tcW w:w="270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科目名称</w:t>
            </w:r>
          </w:p>
        </w:tc>
        <w:tc>
          <w:tcPr>
            <w:tcW w:w="2265"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1755"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2040"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栏次</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1</w:t>
            </w:r>
          </w:p>
        </w:tc>
        <w:tc>
          <w:tcPr>
            <w:tcW w:w="270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2</w:t>
            </w:r>
          </w:p>
        </w:tc>
        <w:tc>
          <w:tcPr>
            <w:tcW w:w="226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3</w:t>
            </w:r>
          </w:p>
        </w:tc>
        <w:tc>
          <w:tcPr>
            <w:tcW w:w="175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4</w:t>
            </w:r>
          </w:p>
        </w:tc>
        <w:tc>
          <w:tcPr>
            <w:tcW w:w="204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w:t>
            </w:r>
          </w:p>
        </w:tc>
        <w:tc>
          <w:tcPr>
            <w:tcW w:w="1643" w:type="dxa"/>
            <w:vAlign w:val="center"/>
          </w:tcPr>
          <w:p>
            <w:pPr>
              <w:pStyle w:val="18"/>
              <w:keepNext w:val="0"/>
              <w:keepLines w:val="0"/>
              <w:pageBreakBefore w:val="0"/>
              <w:widowControl/>
              <w:kinsoku/>
              <w:wordWrap/>
              <w:overflowPunct/>
              <w:topLinePunct w:val="0"/>
              <w:autoSpaceDE/>
              <w:autoSpaceDN/>
              <w:bidi w:val="0"/>
              <w:adjustRightInd/>
              <w:snapToGrid/>
              <w:jc w:val="both"/>
              <w:textAlignment w:val="auto"/>
            </w:pPr>
          </w:p>
        </w:tc>
        <w:tc>
          <w:tcPr>
            <w:tcW w:w="2701" w:type="dxa"/>
            <w:vAlign w:val="center"/>
          </w:tcPr>
          <w:p>
            <w:pPr>
              <w:pStyle w:val="16"/>
              <w:keepNext w:val="0"/>
              <w:keepLines w:val="0"/>
              <w:pageBreakBefore w:val="0"/>
              <w:widowControl/>
              <w:kinsoku/>
              <w:wordWrap/>
              <w:overflowPunct/>
              <w:topLinePunct w:val="0"/>
              <w:autoSpaceDE/>
              <w:autoSpaceDN/>
              <w:bidi w:val="0"/>
              <w:adjustRightInd/>
              <w:snapToGrid/>
              <w:jc w:val="both"/>
              <w:textAlignment w:val="auto"/>
            </w:pPr>
            <w:r>
              <w:t>合计</w:t>
            </w:r>
          </w:p>
        </w:tc>
        <w:tc>
          <w:tcPr>
            <w:tcW w:w="2265"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1659.50</w:t>
            </w:r>
          </w:p>
        </w:tc>
        <w:tc>
          <w:tcPr>
            <w:tcW w:w="1755"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1253.82</w:t>
            </w:r>
          </w:p>
        </w:tc>
        <w:tc>
          <w:tcPr>
            <w:tcW w:w="204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405.68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201</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一般公共服务支出</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1040.42</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997.06</w:t>
            </w: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43.36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20103</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政府办公厅（室）及相关机构事务</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1040.42</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997.06</w:t>
            </w: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43.36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4</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2010301</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行政运行</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997.06</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997.06</w:t>
            </w: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5</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2010302</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一般行政管理事务</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16.00</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6</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2010308</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信访事务</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27.36</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27.36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7</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207</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文化旅游体育与传媒支出</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8.50</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8</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20799</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其他文化旅游体育与传媒支出</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8.50</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9</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2079999</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其他文化旅游体育与传媒支出</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8.50</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10</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社会保障和就业支出</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174.69</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168.69</w:t>
            </w: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11</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20805</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行政事业</w:t>
            </w:r>
            <w:r>
              <w:rPr>
                <w:rFonts w:hint="eastAsia"/>
                <w:lang w:eastAsia="zh-CN"/>
              </w:rPr>
              <w:t>部门</w:t>
            </w:r>
            <w:r>
              <w:t>养老支出</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168.69</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168.69</w:t>
            </w: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12</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2080501</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行政</w:t>
            </w:r>
            <w:r>
              <w:rPr>
                <w:rFonts w:hint="eastAsia"/>
                <w:lang w:eastAsia="zh-CN"/>
              </w:rPr>
              <w:t>部门</w:t>
            </w:r>
            <w:r>
              <w:t>离退休</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81.33</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81.33</w:t>
            </w: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13</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2080505</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机关事业</w:t>
            </w:r>
            <w:r>
              <w:rPr>
                <w:rFonts w:hint="eastAsia"/>
                <w:lang w:eastAsia="zh-CN"/>
              </w:rPr>
              <w:t>部门</w:t>
            </w:r>
            <w:r>
              <w:t>基本养老保险缴费支出</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75.41</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75.41</w:t>
            </w: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14</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2080506</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机关事业</w:t>
            </w:r>
            <w:r>
              <w:rPr>
                <w:rFonts w:hint="eastAsia"/>
                <w:lang w:eastAsia="zh-CN"/>
              </w:rPr>
              <w:t>部门</w:t>
            </w:r>
            <w:r>
              <w:t>职业年金缴费支出</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11.95</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11.95</w:t>
            </w: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15</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20808</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抚恤</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16</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2080899</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其他优抚支出</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17</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210</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卫生健康支出</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18</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21011</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行政事业</w:t>
            </w:r>
            <w:r>
              <w:rPr>
                <w:rFonts w:hint="eastAsia"/>
                <w:lang w:eastAsia="zh-CN"/>
              </w:rPr>
              <w:t>部门</w:t>
            </w:r>
            <w:r>
              <w:t>医疗</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19</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2101101</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行政</w:t>
            </w:r>
            <w:r>
              <w:rPr>
                <w:rFonts w:hint="eastAsia"/>
                <w:lang w:eastAsia="zh-CN"/>
              </w:rPr>
              <w:t>部门</w:t>
            </w:r>
            <w:r>
              <w:t>医疗</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20</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211</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节能环保支出</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21</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21103</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污染防治</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22</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2110302</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水体</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23</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212</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城乡社区支出</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29.26</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24</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21201</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城乡社区管理事务</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29.26</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25</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2120104</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城管执法</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29.26</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26</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213</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农林水支出</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294.86</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27</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21301</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农业农村</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194.00</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28</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2130142</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农村道路建设</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194.00</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29</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21307</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农村综合改革</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100.86</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30</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2130705</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对村民委员会和村党支部的补助</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100.86</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31</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221</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住房保障支出</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32</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22102</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住房改革支出</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33</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2210201</w:t>
            </w:r>
          </w:p>
        </w:tc>
        <w:tc>
          <w:tcPr>
            <w:tcW w:w="2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住房公积金</w:t>
            </w:r>
          </w:p>
        </w:tc>
        <w:tc>
          <w:tcPr>
            <w:tcW w:w="226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175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204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line="240" w:lineRule="auto"/>
        <w:ind w:firstLine="0"/>
        <w:jc w:val="center"/>
        <w:textAlignment w:val="auto"/>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933"/>
        <w:gridCol w:w="2025"/>
        <w:gridCol w:w="1800"/>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19" w:type="dxa"/>
            <w:gridSpan w:val="3"/>
            <w:tcBorders>
              <w:top w:val="single" w:color="FFFFFF" w:sz="6" w:space="0"/>
              <w:left w:val="single" w:color="FFFFFF" w:sz="6" w:space="0"/>
              <w:right w:val="single" w:color="FFFFFF" w:sz="6" w:space="0"/>
            </w:tcBorders>
            <w:vAlign w:val="center"/>
          </w:tcPr>
          <w:p>
            <w:pPr>
              <w:pStyle w:val="11"/>
              <w:keepNext w:val="0"/>
              <w:keepLines w:val="0"/>
              <w:pageBreakBefore w:val="0"/>
              <w:widowControl/>
              <w:kinsoku/>
              <w:wordWrap/>
              <w:overflowPunct/>
              <w:topLinePunct w:val="0"/>
              <w:autoSpaceDE/>
              <w:autoSpaceDN/>
              <w:bidi w:val="0"/>
              <w:adjustRightInd/>
              <w:snapToGrid/>
              <w:jc w:val="both"/>
              <w:textAlignment w:val="auto"/>
            </w:pPr>
            <w:r>
              <w:t>958霸州市东杨庄乡</w:t>
            </w:r>
          </w:p>
        </w:tc>
        <w:tc>
          <w:tcPr>
            <w:tcW w:w="2025" w:type="dxa"/>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jc w:val="both"/>
              <w:textAlignment w:val="auto"/>
            </w:pPr>
            <w:r>
              <w:t>预算年度：2023</w:t>
            </w:r>
          </w:p>
        </w:tc>
        <w:tc>
          <w:tcPr>
            <w:tcW w:w="3698"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autoSpaceDE/>
              <w:autoSpaceDN/>
              <w:bidi w:val="0"/>
              <w:adjustRightInd/>
              <w:snapToGrid/>
              <w:ind w:firstLine="2160" w:firstLineChars="900"/>
              <w:jc w:val="both"/>
              <w:textAlignment w:val="auto"/>
            </w:pP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序号</w:t>
            </w:r>
          </w:p>
        </w:tc>
        <w:tc>
          <w:tcPr>
            <w:tcW w:w="4576" w:type="dxa"/>
            <w:gridSpan w:val="2"/>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支出部门经济分类科目</w:t>
            </w:r>
          </w:p>
        </w:tc>
        <w:tc>
          <w:tcPr>
            <w:tcW w:w="5723" w:type="dxa"/>
            <w:gridSpan w:val="3"/>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科目编码</w:t>
            </w:r>
          </w:p>
        </w:tc>
        <w:tc>
          <w:tcPr>
            <w:tcW w:w="293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科目名称</w:t>
            </w:r>
          </w:p>
        </w:tc>
        <w:tc>
          <w:tcPr>
            <w:tcW w:w="202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合计</w:t>
            </w:r>
          </w:p>
        </w:tc>
        <w:tc>
          <w:tcPr>
            <w:tcW w:w="180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人员经费</w:t>
            </w:r>
          </w:p>
        </w:tc>
        <w:tc>
          <w:tcPr>
            <w:tcW w:w="189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栏次</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1</w:t>
            </w:r>
          </w:p>
        </w:tc>
        <w:tc>
          <w:tcPr>
            <w:tcW w:w="293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2</w:t>
            </w:r>
          </w:p>
        </w:tc>
        <w:tc>
          <w:tcPr>
            <w:tcW w:w="202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3</w:t>
            </w:r>
          </w:p>
        </w:tc>
        <w:tc>
          <w:tcPr>
            <w:tcW w:w="180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4</w:t>
            </w:r>
          </w:p>
        </w:tc>
        <w:tc>
          <w:tcPr>
            <w:tcW w:w="189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w:t>
            </w:r>
          </w:p>
        </w:tc>
        <w:tc>
          <w:tcPr>
            <w:tcW w:w="1643" w:type="dxa"/>
            <w:vAlign w:val="center"/>
          </w:tcPr>
          <w:p>
            <w:pPr>
              <w:pStyle w:val="18"/>
              <w:keepNext w:val="0"/>
              <w:keepLines w:val="0"/>
              <w:pageBreakBefore w:val="0"/>
              <w:widowControl/>
              <w:kinsoku/>
              <w:wordWrap/>
              <w:overflowPunct/>
              <w:topLinePunct w:val="0"/>
              <w:autoSpaceDE/>
              <w:autoSpaceDN/>
              <w:bidi w:val="0"/>
              <w:adjustRightInd/>
              <w:snapToGrid/>
              <w:jc w:val="both"/>
              <w:textAlignment w:val="auto"/>
            </w:pPr>
          </w:p>
        </w:tc>
        <w:tc>
          <w:tcPr>
            <w:tcW w:w="2933" w:type="dxa"/>
            <w:vAlign w:val="center"/>
          </w:tcPr>
          <w:p>
            <w:pPr>
              <w:pStyle w:val="16"/>
              <w:keepNext w:val="0"/>
              <w:keepLines w:val="0"/>
              <w:pageBreakBefore w:val="0"/>
              <w:widowControl/>
              <w:kinsoku/>
              <w:wordWrap/>
              <w:overflowPunct/>
              <w:topLinePunct w:val="0"/>
              <w:autoSpaceDE/>
              <w:autoSpaceDN/>
              <w:bidi w:val="0"/>
              <w:adjustRightInd/>
              <w:snapToGrid/>
              <w:jc w:val="both"/>
              <w:textAlignment w:val="auto"/>
            </w:pPr>
            <w:r>
              <w:t>合计</w:t>
            </w:r>
          </w:p>
        </w:tc>
        <w:tc>
          <w:tcPr>
            <w:tcW w:w="2025"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1253.82</w:t>
            </w:r>
          </w:p>
        </w:tc>
        <w:tc>
          <w:tcPr>
            <w:tcW w:w="180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1106.41</w:t>
            </w:r>
          </w:p>
        </w:tc>
        <w:tc>
          <w:tcPr>
            <w:tcW w:w="1898"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147.41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301</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工资福利支出</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972.80</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972.80</w:t>
            </w: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30101</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基本工资</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302.56</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302.56</w:t>
            </w: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4</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30102</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津贴补贴</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199.72</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199.72</w:t>
            </w: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5</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30103</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奖金</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77.34</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77.34</w:t>
            </w: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6</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30107</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绩效工资</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183.93</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183.93</w:t>
            </w: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7</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30108</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机关事业</w:t>
            </w:r>
            <w:r>
              <w:rPr>
                <w:rFonts w:hint="eastAsia"/>
                <w:lang w:eastAsia="zh-CN"/>
              </w:rPr>
              <w:t>部门</w:t>
            </w:r>
            <w:r>
              <w:t>基本养老保险缴费</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75.41</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75.41</w:t>
            </w: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8</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30109</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职业年金缴费</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11.95</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11.95</w:t>
            </w: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9</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30110</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职工基本医疗保险缴费</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23.73</w:t>
            </w: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10</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30112</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其他社会保障缴费</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29.82</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29.82</w:t>
            </w: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11</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30113</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住房公积金</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64.34</w:t>
            </w: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12</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30199</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其他工资福利支出</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4.00</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4.00</w:t>
            </w: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13</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302</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商品和服务支出</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147.41</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147.41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14</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30201</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办公费</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21.50</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15</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30202</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印刷费</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0.56</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16</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30205</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水费</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1.68</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17</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30206</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电费</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4.48</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18</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30207</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邮电费</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37.42</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37.42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19</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30208</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取暖费</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14.06</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20</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30209</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物业管理费</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5.40</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21</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30211</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差旅费</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4.48</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22</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30213</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维修(护)费</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1.68</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23</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30216</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rPr>
                <w:color w:val="auto"/>
              </w:rPr>
              <w:t>培训费</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2.33</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24</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30217</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公务接待费</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0.67</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25</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30228</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工会经费</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7.59</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26</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30229</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福利费</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4.94</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27</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30231</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公务用车运行维护费</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6.90</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28</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30239</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其他交通费用</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33.72</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29</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303</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对个人和家庭的补助</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133.61</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133.61</w:t>
            </w: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30</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30302</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退休费</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81.33</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81.33</w:t>
            </w: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31</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30305</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生活补助</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1.64</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1.64</w:t>
            </w: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32</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30307</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医疗费补助</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50.50</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50.50</w:t>
            </w: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33</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30309</w:t>
            </w:r>
          </w:p>
        </w:tc>
        <w:tc>
          <w:tcPr>
            <w:tcW w:w="293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奖励金</w:t>
            </w:r>
          </w:p>
        </w:tc>
        <w:tc>
          <w:tcPr>
            <w:tcW w:w="202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0.14</w:t>
            </w:r>
          </w:p>
        </w:tc>
        <w:tc>
          <w:tcPr>
            <w:tcW w:w="180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0.14</w:t>
            </w:r>
          </w:p>
        </w:tc>
        <w:tc>
          <w:tcPr>
            <w:tcW w:w="189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line="240" w:lineRule="auto"/>
        <w:ind w:firstLine="0"/>
        <w:jc w:val="center"/>
        <w:textAlignment w:val="auto"/>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693"/>
        <w:gridCol w:w="2070"/>
        <w:gridCol w:w="1245"/>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79" w:type="dxa"/>
            <w:gridSpan w:val="3"/>
            <w:tcBorders>
              <w:top w:val="single" w:color="FFFFFF" w:sz="6" w:space="0"/>
              <w:left w:val="single" w:color="FFFFFF" w:sz="6" w:space="0"/>
              <w:right w:val="single" w:color="FFFFFF" w:sz="6" w:space="0"/>
            </w:tcBorders>
            <w:vAlign w:val="center"/>
          </w:tcPr>
          <w:p>
            <w:pPr>
              <w:pStyle w:val="11"/>
              <w:keepNext w:val="0"/>
              <w:keepLines w:val="0"/>
              <w:pageBreakBefore w:val="0"/>
              <w:widowControl/>
              <w:kinsoku/>
              <w:wordWrap/>
              <w:overflowPunct/>
              <w:topLinePunct w:val="0"/>
              <w:autoSpaceDE/>
              <w:autoSpaceDN/>
              <w:bidi w:val="0"/>
              <w:adjustRightInd/>
              <w:snapToGrid/>
              <w:jc w:val="both"/>
              <w:textAlignment w:val="auto"/>
            </w:pPr>
            <w:r>
              <w:t>958霸州市东杨庄乡</w:t>
            </w:r>
          </w:p>
        </w:tc>
        <w:tc>
          <w:tcPr>
            <w:tcW w:w="2070" w:type="dxa"/>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jc w:val="both"/>
              <w:textAlignment w:val="auto"/>
            </w:pPr>
            <w:r>
              <w:t>预算年度：2023</w:t>
            </w:r>
          </w:p>
        </w:tc>
        <w:tc>
          <w:tcPr>
            <w:tcW w:w="3263"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autoSpaceDE/>
              <w:autoSpaceDN/>
              <w:bidi w:val="0"/>
              <w:adjustRightInd/>
              <w:snapToGrid/>
              <w:ind w:firstLine="720" w:firstLineChars="300"/>
              <w:jc w:val="both"/>
              <w:textAlignment w:val="auto"/>
            </w:pP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序号</w:t>
            </w:r>
          </w:p>
        </w:tc>
        <w:tc>
          <w:tcPr>
            <w:tcW w:w="4336" w:type="dxa"/>
            <w:gridSpan w:val="2"/>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功能分类科目</w:t>
            </w:r>
          </w:p>
        </w:tc>
        <w:tc>
          <w:tcPr>
            <w:tcW w:w="2070"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合计</w:t>
            </w:r>
          </w:p>
        </w:tc>
        <w:tc>
          <w:tcPr>
            <w:tcW w:w="1245"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基本支出</w:t>
            </w:r>
          </w:p>
        </w:tc>
        <w:tc>
          <w:tcPr>
            <w:tcW w:w="2018"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科目编码</w:t>
            </w:r>
          </w:p>
        </w:tc>
        <w:tc>
          <w:tcPr>
            <w:tcW w:w="269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科目名称</w:t>
            </w:r>
          </w:p>
        </w:tc>
        <w:tc>
          <w:tcPr>
            <w:tcW w:w="2070"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1245"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2018"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栏次</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1</w:t>
            </w:r>
          </w:p>
        </w:tc>
        <w:tc>
          <w:tcPr>
            <w:tcW w:w="269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2</w:t>
            </w:r>
          </w:p>
        </w:tc>
        <w:tc>
          <w:tcPr>
            <w:tcW w:w="207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3</w:t>
            </w:r>
          </w:p>
        </w:tc>
        <w:tc>
          <w:tcPr>
            <w:tcW w:w="124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4</w:t>
            </w:r>
          </w:p>
        </w:tc>
        <w:tc>
          <w:tcPr>
            <w:tcW w:w="201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w:t>
            </w:r>
          </w:p>
        </w:tc>
        <w:tc>
          <w:tcPr>
            <w:tcW w:w="1643" w:type="dxa"/>
            <w:vAlign w:val="center"/>
          </w:tcPr>
          <w:p>
            <w:pPr>
              <w:pStyle w:val="18"/>
              <w:keepNext w:val="0"/>
              <w:keepLines w:val="0"/>
              <w:pageBreakBefore w:val="0"/>
              <w:widowControl/>
              <w:kinsoku/>
              <w:wordWrap/>
              <w:overflowPunct/>
              <w:topLinePunct w:val="0"/>
              <w:autoSpaceDE/>
              <w:autoSpaceDN/>
              <w:bidi w:val="0"/>
              <w:adjustRightInd/>
              <w:snapToGrid/>
              <w:jc w:val="both"/>
              <w:textAlignment w:val="auto"/>
            </w:pPr>
          </w:p>
        </w:tc>
        <w:tc>
          <w:tcPr>
            <w:tcW w:w="2693" w:type="dxa"/>
            <w:vAlign w:val="center"/>
          </w:tcPr>
          <w:p>
            <w:pPr>
              <w:pStyle w:val="16"/>
              <w:keepNext w:val="0"/>
              <w:keepLines w:val="0"/>
              <w:pageBreakBefore w:val="0"/>
              <w:widowControl/>
              <w:kinsoku/>
              <w:wordWrap/>
              <w:overflowPunct/>
              <w:topLinePunct w:val="0"/>
              <w:autoSpaceDE/>
              <w:autoSpaceDN/>
              <w:bidi w:val="0"/>
              <w:adjustRightInd/>
              <w:snapToGrid/>
              <w:jc w:val="both"/>
              <w:textAlignment w:val="auto"/>
            </w:pPr>
            <w:r>
              <w:t>合计</w:t>
            </w:r>
          </w:p>
        </w:tc>
        <w:tc>
          <w:tcPr>
            <w:tcW w:w="207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8.00</w:t>
            </w:r>
          </w:p>
        </w:tc>
        <w:tc>
          <w:tcPr>
            <w:tcW w:w="1245"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2018"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212</w:t>
            </w:r>
          </w:p>
        </w:tc>
        <w:tc>
          <w:tcPr>
            <w:tcW w:w="269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城乡社区支出</w:t>
            </w:r>
          </w:p>
        </w:tc>
        <w:tc>
          <w:tcPr>
            <w:tcW w:w="20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8.00</w:t>
            </w: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1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3</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21208</w:t>
            </w:r>
          </w:p>
        </w:tc>
        <w:tc>
          <w:tcPr>
            <w:tcW w:w="269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国有土地使用权出让收入安排的支出</w:t>
            </w:r>
          </w:p>
        </w:tc>
        <w:tc>
          <w:tcPr>
            <w:tcW w:w="20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8.00</w:t>
            </w: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1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4</w:t>
            </w: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2120802</w:t>
            </w:r>
          </w:p>
        </w:tc>
        <w:tc>
          <w:tcPr>
            <w:tcW w:w="269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土地开发支出</w:t>
            </w:r>
          </w:p>
        </w:tc>
        <w:tc>
          <w:tcPr>
            <w:tcW w:w="207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8.00</w:t>
            </w:r>
          </w:p>
        </w:tc>
        <w:tc>
          <w:tcPr>
            <w:tcW w:w="124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018"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8.00</w:t>
            </w: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line="240" w:lineRule="auto"/>
        <w:ind w:firstLine="0"/>
        <w:jc w:val="center"/>
        <w:textAlignment w:val="auto"/>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171"/>
        <w:gridCol w:w="2115"/>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57" w:type="dxa"/>
            <w:gridSpan w:val="3"/>
            <w:tcBorders>
              <w:top w:val="single" w:color="FFFFFF" w:sz="6" w:space="0"/>
              <w:left w:val="single" w:color="FFFFFF" w:sz="6" w:space="0"/>
              <w:right w:val="single" w:color="FFFFFF" w:sz="6" w:space="0"/>
            </w:tcBorders>
            <w:vAlign w:val="center"/>
          </w:tcPr>
          <w:p>
            <w:pPr>
              <w:pStyle w:val="11"/>
              <w:keepNext w:val="0"/>
              <w:keepLines w:val="0"/>
              <w:pageBreakBefore w:val="0"/>
              <w:widowControl/>
              <w:kinsoku/>
              <w:wordWrap/>
              <w:overflowPunct/>
              <w:topLinePunct w:val="0"/>
              <w:autoSpaceDE/>
              <w:autoSpaceDN/>
              <w:bidi w:val="0"/>
              <w:adjustRightInd/>
              <w:snapToGrid/>
              <w:jc w:val="both"/>
              <w:textAlignment w:val="auto"/>
            </w:pPr>
            <w:r>
              <w:t>958霸州市东杨庄乡</w:t>
            </w:r>
          </w:p>
        </w:tc>
        <w:tc>
          <w:tcPr>
            <w:tcW w:w="2115" w:type="dxa"/>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jc w:val="both"/>
              <w:textAlignment w:val="auto"/>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autoSpaceDE/>
              <w:autoSpaceDN/>
              <w:bidi w:val="0"/>
              <w:adjustRightInd/>
              <w:snapToGrid/>
              <w:ind w:firstLine="1200" w:firstLineChars="500"/>
              <w:jc w:val="both"/>
              <w:textAlignment w:val="auto"/>
            </w:pP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序号</w:t>
            </w:r>
          </w:p>
        </w:tc>
        <w:tc>
          <w:tcPr>
            <w:tcW w:w="2814" w:type="dxa"/>
            <w:gridSpan w:val="2"/>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功能分类科目</w:t>
            </w:r>
          </w:p>
        </w:tc>
        <w:tc>
          <w:tcPr>
            <w:tcW w:w="2115"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合计</w:t>
            </w:r>
          </w:p>
        </w:tc>
        <w:tc>
          <w:tcPr>
            <w:tcW w:w="1643"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基本支出</w:t>
            </w:r>
          </w:p>
        </w:tc>
        <w:tc>
          <w:tcPr>
            <w:tcW w:w="1643"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164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科目编码</w:t>
            </w:r>
          </w:p>
        </w:tc>
        <w:tc>
          <w:tcPr>
            <w:tcW w:w="117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科目名称</w:t>
            </w:r>
          </w:p>
        </w:tc>
        <w:tc>
          <w:tcPr>
            <w:tcW w:w="2115"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1643"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1643"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栏次</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1</w:t>
            </w:r>
          </w:p>
        </w:tc>
        <w:tc>
          <w:tcPr>
            <w:tcW w:w="117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2</w:t>
            </w:r>
          </w:p>
        </w:tc>
        <w:tc>
          <w:tcPr>
            <w:tcW w:w="211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3</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4</w:t>
            </w:r>
          </w:p>
        </w:tc>
        <w:tc>
          <w:tcPr>
            <w:tcW w:w="164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p>
        </w:tc>
        <w:tc>
          <w:tcPr>
            <w:tcW w:w="1643"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117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115"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64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1643"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bookmarkStart w:id="8" w:name="_Toc_2_2_0000000009"/>
      <w:r>
        <w:rPr>
          <w:rFonts w:ascii="方正书宋_GBK" w:hAnsi="方正书宋_GBK" w:eastAsia="方正书宋_GBK" w:cs="方正书宋_GBK"/>
          <w:color w:val="000000"/>
          <w:sz w:val="21"/>
        </w:rPr>
        <w:t>注：无国有资本经营预算财政拨款预算，空表列示</w:t>
      </w:r>
    </w:p>
    <w:p>
      <w:pPr>
        <w:keepNext w:val="0"/>
        <w:keepLines w:val="0"/>
        <w:pageBreakBefore w:val="0"/>
        <w:widowControl/>
        <w:kinsoku/>
        <w:wordWrap/>
        <w:overflowPunct/>
        <w:topLinePunct w:val="0"/>
        <w:autoSpaceDE/>
        <w:autoSpaceDN/>
        <w:bidi w:val="0"/>
        <w:adjustRightInd/>
        <w:snapToGrid/>
        <w:jc w:val="both"/>
        <w:textAlignment w:val="auto"/>
        <w:outlineLvl w:val="1"/>
        <w:rPr>
          <w:rFonts w:ascii="方正小标宋_GBK" w:hAnsi="方正小标宋_GBK" w:eastAsia="方正小标宋_GBK" w:cs="方正小标宋_GBK"/>
          <w:color w:val="000000"/>
          <w:sz w:val="36"/>
        </w:rPr>
      </w:pPr>
    </w:p>
    <w:p>
      <w:pPr>
        <w:keepNext w:val="0"/>
        <w:keepLines w:val="0"/>
        <w:pageBreakBefore w:val="0"/>
        <w:widowControl/>
        <w:kinsoku/>
        <w:wordWrap/>
        <w:overflowPunct/>
        <w:topLinePunct w:val="0"/>
        <w:autoSpaceDE/>
        <w:autoSpaceDN/>
        <w:bidi w:val="0"/>
        <w:adjustRightInd/>
        <w:snapToGrid/>
        <w:ind w:firstLine="3960" w:firstLineChars="1100"/>
        <w:jc w:val="both"/>
        <w:textAlignment w:val="auto"/>
        <w:outlineLvl w:val="1"/>
      </w:pPr>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keepNext w:val="0"/>
              <w:keepLines w:val="0"/>
              <w:pageBreakBefore w:val="0"/>
              <w:widowControl/>
              <w:kinsoku/>
              <w:wordWrap/>
              <w:overflowPunct/>
              <w:topLinePunct w:val="0"/>
              <w:autoSpaceDE/>
              <w:autoSpaceDN/>
              <w:bidi w:val="0"/>
              <w:adjustRightInd/>
              <w:snapToGrid/>
              <w:jc w:val="both"/>
              <w:textAlignment w:val="auto"/>
              <w:rPr>
                <w:rFonts w:hint="eastAsia" w:eastAsia="方正小标宋_GBK"/>
                <w:lang w:eastAsia="zh-CN"/>
              </w:rPr>
            </w:pPr>
            <w:r>
              <w:t>958霸州市东杨庄乡</w:t>
            </w:r>
          </w:p>
        </w:tc>
        <w:tc>
          <w:tcPr>
            <w:tcW w:w="2381" w:type="dxa"/>
            <w:tcBorders>
              <w:top w:val="single" w:color="FFFFFF" w:sz="6" w:space="0"/>
              <w:left w:val="single" w:color="FFFFFF" w:sz="6" w:space="0"/>
              <w:right w:val="single" w:color="FFFFFF" w:sz="6" w:space="0"/>
            </w:tcBorders>
            <w:vAlign w:val="center"/>
          </w:tcPr>
          <w:p>
            <w:pPr>
              <w:pStyle w:val="10"/>
              <w:keepNext w:val="0"/>
              <w:keepLines w:val="0"/>
              <w:pageBreakBefore w:val="0"/>
              <w:widowControl/>
              <w:kinsoku/>
              <w:wordWrap/>
              <w:overflowPunct/>
              <w:topLinePunct w:val="0"/>
              <w:autoSpaceDE/>
              <w:autoSpaceDN/>
              <w:bidi w:val="0"/>
              <w:adjustRightInd/>
              <w:snapToGrid/>
              <w:jc w:val="both"/>
              <w:textAlignment w:val="auto"/>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autoSpaceDE/>
              <w:autoSpaceDN/>
              <w:bidi w:val="0"/>
              <w:adjustRightInd/>
              <w:snapToGrid/>
              <w:ind w:firstLine="1920" w:firstLineChars="800"/>
              <w:jc w:val="both"/>
              <w:textAlignment w:val="auto"/>
            </w:pP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序号</w:t>
            </w:r>
          </w:p>
        </w:tc>
        <w:tc>
          <w:tcPr>
            <w:tcW w:w="3798"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项  目</w:t>
            </w:r>
          </w:p>
        </w:tc>
        <w:tc>
          <w:tcPr>
            <w:tcW w:w="9525" w:type="dxa"/>
            <w:gridSpan w:val="4"/>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3798"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2382"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合计</w:t>
            </w:r>
          </w:p>
        </w:tc>
        <w:tc>
          <w:tcPr>
            <w:tcW w:w="238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一般公共预算              财政拨款</w:t>
            </w:r>
          </w:p>
        </w:tc>
        <w:tc>
          <w:tcPr>
            <w:tcW w:w="238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政府性基金                  预算拨款</w:t>
            </w:r>
          </w:p>
        </w:tc>
        <w:tc>
          <w:tcPr>
            <w:tcW w:w="238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栏次</w:t>
            </w:r>
          </w:p>
        </w:tc>
        <w:tc>
          <w:tcPr>
            <w:tcW w:w="379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1</w:t>
            </w:r>
          </w:p>
        </w:tc>
        <w:tc>
          <w:tcPr>
            <w:tcW w:w="2382"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2</w:t>
            </w:r>
          </w:p>
        </w:tc>
        <w:tc>
          <w:tcPr>
            <w:tcW w:w="238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3</w:t>
            </w:r>
          </w:p>
        </w:tc>
        <w:tc>
          <w:tcPr>
            <w:tcW w:w="238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4</w:t>
            </w:r>
          </w:p>
        </w:tc>
        <w:tc>
          <w:tcPr>
            <w:tcW w:w="238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rPr>
                <w:rFonts w:hint="eastAsia"/>
                <w:lang w:eastAsia="zh-CN"/>
              </w:rPr>
              <w:t>1</w:t>
            </w:r>
          </w:p>
        </w:tc>
        <w:tc>
          <w:tcPr>
            <w:tcW w:w="379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rPr>
                <w:b/>
              </w:rPr>
            </w:pPr>
            <w:r>
              <w:rPr>
                <w:b/>
              </w:rPr>
              <w:t>合计</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rPr>
                <w:rFonts w:hint="default"/>
                <w:lang w:val="en-US"/>
              </w:rPr>
            </w:pPr>
            <w:r>
              <w:rPr>
                <w:rFonts w:hint="eastAsia"/>
                <w:lang w:val="en-US" w:eastAsia="zh-CN"/>
              </w:rPr>
              <w:t>7.57</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rPr>
                <w:rFonts w:hint="default"/>
                <w:lang w:val="en-US"/>
              </w:rPr>
            </w:pPr>
            <w:r>
              <w:rPr>
                <w:rFonts w:hint="eastAsia"/>
                <w:lang w:val="en-US" w:eastAsia="zh-CN"/>
              </w:rPr>
              <w:t>7.57</w:t>
            </w: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rPr>
                <w:rFonts w:hint="eastAsia" w:eastAsia="方正书宋_GBK"/>
                <w:lang w:eastAsia="zh-CN"/>
              </w:rPr>
            </w:pPr>
            <w:r>
              <w:rPr>
                <w:rFonts w:hint="eastAsia"/>
                <w:lang w:val="en-US" w:eastAsia="zh-CN"/>
              </w:rPr>
              <w:t>2</w:t>
            </w:r>
          </w:p>
        </w:tc>
        <w:tc>
          <w:tcPr>
            <w:tcW w:w="379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一、因公出国（境）费</w:t>
            </w:r>
          </w:p>
        </w:tc>
        <w:tc>
          <w:tcPr>
            <w:tcW w:w="2382"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rPr>
                <w:rFonts w:hint="eastAsia" w:eastAsia="方正书宋_GBK"/>
                <w:lang w:eastAsia="zh-CN"/>
              </w:rPr>
            </w:pPr>
            <w:r>
              <w:rPr>
                <w:rFonts w:hint="eastAsia"/>
                <w:lang w:val="en-US" w:eastAsia="zh-CN"/>
              </w:rPr>
              <w:t>3</w:t>
            </w:r>
          </w:p>
        </w:tc>
        <w:tc>
          <w:tcPr>
            <w:tcW w:w="379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 xml:space="preserve">    其中：教学科研人员因公出国（境）费</w:t>
            </w:r>
          </w:p>
        </w:tc>
        <w:tc>
          <w:tcPr>
            <w:tcW w:w="2382"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rPr>
                <w:rFonts w:hint="eastAsia" w:eastAsia="方正书宋_GBK"/>
                <w:lang w:eastAsia="zh-CN"/>
              </w:rPr>
            </w:pPr>
            <w:r>
              <w:rPr>
                <w:rFonts w:hint="eastAsia"/>
                <w:lang w:val="en-US" w:eastAsia="zh-CN"/>
              </w:rPr>
              <w:t>4</w:t>
            </w:r>
          </w:p>
        </w:tc>
        <w:tc>
          <w:tcPr>
            <w:tcW w:w="379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 xml:space="preserve">          其他因公出国（境）费</w:t>
            </w:r>
          </w:p>
        </w:tc>
        <w:tc>
          <w:tcPr>
            <w:tcW w:w="2382"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rPr>
                <w:rFonts w:hint="eastAsia" w:eastAsia="方正书宋_GBK"/>
                <w:lang w:eastAsia="zh-CN"/>
              </w:rPr>
            </w:pPr>
            <w:r>
              <w:rPr>
                <w:rFonts w:hint="eastAsia"/>
                <w:lang w:val="en-US" w:eastAsia="zh-CN"/>
              </w:rPr>
              <w:t>5</w:t>
            </w:r>
          </w:p>
        </w:tc>
        <w:tc>
          <w:tcPr>
            <w:tcW w:w="379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二、公务用车购置及运维费</w:t>
            </w:r>
          </w:p>
        </w:tc>
        <w:tc>
          <w:tcPr>
            <w:tcW w:w="2382"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rPr>
                <w:lang w:eastAsia="zh-CN"/>
              </w:rPr>
            </w:pPr>
            <w:r>
              <w:rPr>
                <w:rFonts w:hint="eastAsia"/>
                <w:lang w:eastAsia="zh-CN"/>
              </w:rPr>
              <w:t>6.90</w:t>
            </w: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rPr>
                <w:lang w:eastAsia="zh-CN"/>
              </w:rPr>
            </w:pPr>
            <w:r>
              <w:rPr>
                <w:rFonts w:hint="eastAsia"/>
                <w:lang w:eastAsia="zh-CN"/>
              </w:rPr>
              <w:t>6.90</w:t>
            </w: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rPr>
                <w:rFonts w:hint="eastAsia" w:eastAsia="方正书宋_GBK"/>
                <w:lang w:eastAsia="zh-CN"/>
              </w:rPr>
            </w:pPr>
            <w:r>
              <w:rPr>
                <w:rFonts w:hint="eastAsia"/>
                <w:lang w:val="en-US" w:eastAsia="zh-CN"/>
              </w:rPr>
              <w:t>6</w:t>
            </w:r>
          </w:p>
        </w:tc>
        <w:tc>
          <w:tcPr>
            <w:tcW w:w="379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 xml:space="preserve">    其中：公务用车购置费</w:t>
            </w:r>
          </w:p>
        </w:tc>
        <w:tc>
          <w:tcPr>
            <w:tcW w:w="2382"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rPr>
                <w:rFonts w:hint="eastAsia" w:eastAsia="方正书宋_GBK"/>
                <w:lang w:eastAsia="zh-CN"/>
              </w:rPr>
            </w:pPr>
            <w:r>
              <w:rPr>
                <w:rFonts w:hint="eastAsia"/>
                <w:lang w:val="en-US" w:eastAsia="zh-CN"/>
              </w:rPr>
              <w:t>7</w:t>
            </w:r>
          </w:p>
        </w:tc>
        <w:tc>
          <w:tcPr>
            <w:tcW w:w="379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 xml:space="preserve">          公务用车运行维护费</w:t>
            </w:r>
          </w:p>
        </w:tc>
        <w:tc>
          <w:tcPr>
            <w:tcW w:w="2382"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rPr>
                <w:lang w:eastAsia="zh-CN"/>
              </w:rPr>
            </w:pPr>
            <w:r>
              <w:rPr>
                <w:rFonts w:hint="eastAsia"/>
                <w:lang w:eastAsia="zh-CN"/>
              </w:rPr>
              <w:t>6.90</w:t>
            </w: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rPr>
                <w:lang w:eastAsia="zh-CN"/>
              </w:rPr>
            </w:pPr>
            <w:r>
              <w:rPr>
                <w:rFonts w:hint="eastAsia"/>
                <w:lang w:eastAsia="zh-CN"/>
              </w:rPr>
              <w:t>6.90</w:t>
            </w: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rPr>
                <w:rFonts w:hint="eastAsia" w:eastAsia="方正书宋_GBK"/>
                <w:lang w:eastAsia="zh-CN"/>
              </w:rPr>
            </w:pPr>
            <w:r>
              <w:rPr>
                <w:rFonts w:hint="eastAsia"/>
                <w:lang w:val="en-US" w:eastAsia="zh-CN"/>
              </w:rPr>
              <w:t>8</w:t>
            </w:r>
          </w:p>
        </w:tc>
        <w:tc>
          <w:tcPr>
            <w:tcW w:w="379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三、公务接待费</w:t>
            </w:r>
          </w:p>
        </w:tc>
        <w:tc>
          <w:tcPr>
            <w:tcW w:w="2382"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rPr>
                <w:rFonts w:hint="default" w:eastAsia="方正书宋_GBK"/>
                <w:lang w:val="en-US" w:eastAsia="zh-CN"/>
              </w:rPr>
            </w:pPr>
            <w:r>
              <w:rPr>
                <w:rFonts w:hint="eastAsia"/>
                <w:lang w:val="en-US" w:eastAsia="zh-CN"/>
              </w:rPr>
              <w:t>0.67</w:t>
            </w: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rPr>
                <w:rFonts w:hint="eastAsia"/>
                <w:lang w:val="en-US" w:eastAsia="zh-CN"/>
              </w:rPr>
              <w:t>0.67</w:t>
            </w: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2381"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r>
    </w:tbl>
    <w:p>
      <w:pPr>
        <w:keepNext w:val="0"/>
        <w:keepLines w:val="0"/>
        <w:pageBreakBefore w:val="0"/>
        <w:widowControl/>
        <w:kinsoku/>
        <w:wordWrap/>
        <w:overflowPunct/>
        <w:topLinePunct w:val="0"/>
        <w:autoSpaceDE/>
        <w:autoSpaceDN/>
        <w:bidi w:val="0"/>
        <w:adjustRightInd/>
        <w:snapToGrid/>
        <w:spacing w:before="0" w:after="0" w:line="240" w:lineRule="auto"/>
        <w:ind w:firstLine="0"/>
        <w:jc w:val="both"/>
        <w:textAlignment w:val="auto"/>
        <w:outlineLvl w:val="9"/>
        <w:rPr>
          <w:rFonts w:ascii="方正小标宋_GBK" w:hAnsi="方正小标宋_GBK" w:eastAsia="方正小标宋_GBK" w:cs="方正小标宋_GBK"/>
          <w:color w:val="000000"/>
          <w:sz w:val="44"/>
        </w:rPr>
      </w:pP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textAlignment w:val="auto"/>
        <w:outlineLvl w:val="9"/>
        <w:rPr>
          <w:rFonts w:ascii="方正小标宋_GBK" w:hAnsi="方正小标宋_GBK" w:eastAsia="方正小标宋_GBK" w:cs="方正小标宋_GBK"/>
          <w:color w:val="000000"/>
          <w:sz w:val="44"/>
        </w:rPr>
      </w:pPr>
    </w:p>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outlineLvl w:val="9"/>
      </w:pPr>
      <w:r>
        <w:rPr>
          <w:rFonts w:ascii="方正小标宋_GBK" w:hAnsi="方正小标宋_GBK" w:eastAsia="方正小标宋_GBK" w:cs="方正小标宋_GBK"/>
          <w:color w:val="000000"/>
          <w:sz w:val="44"/>
        </w:rPr>
        <w:t>霸州市东杨庄乡2023年部门预算信息公开情况说明</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按照《预算法》、《地方预决算公开操作规程》和《关于进一步推进预算公开工作的实施意见》规定，现将霸州市东杨庄乡2023年部门预算公开如下：</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9" w:name="_Toc_3_3_0000000010"/>
      <w:r>
        <w:rPr>
          <w:rFonts w:ascii="黑体" w:hAnsi="黑体" w:eastAsia="黑体" w:cs="黑体"/>
          <w:color w:val="000000"/>
          <w:sz w:val="32"/>
        </w:rPr>
        <w:t>一、部门职责及机构设置情况</w:t>
      </w:r>
      <w:bookmarkEnd w:id="9"/>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pPr>
      <w:r>
        <w:rPr>
          <w:rFonts w:ascii="方正楷体_GBK" w:hAnsi="方正楷体_GBK" w:eastAsia="方正楷体_GBK" w:cs="方正楷体_GBK"/>
          <w:b/>
          <w:color w:val="000000"/>
          <w:sz w:val="32"/>
        </w:rPr>
        <w:t>部门职责：</w:t>
      </w:r>
    </w:p>
    <w:p>
      <w:pPr>
        <w:pStyle w:val="19"/>
        <w:keepNext w:val="0"/>
        <w:keepLines w:val="0"/>
        <w:pageBreakBefore w:val="0"/>
        <w:widowControl/>
        <w:kinsoku/>
        <w:wordWrap/>
        <w:overflowPunct/>
        <w:topLinePunct w:val="0"/>
        <w:autoSpaceDE/>
        <w:autoSpaceDN/>
        <w:bidi w:val="0"/>
        <w:adjustRightInd/>
        <w:snapToGrid/>
        <w:jc w:val="both"/>
        <w:textAlignment w:val="auto"/>
      </w:pPr>
      <w:r>
        <w:t>霸州市东杨庄乡职能配置、机构设置和人员编制规定</w:t>
      </w:r>
    </w:p>
    <w:p>
      <w:pPr>
        <w:pStyle w:val="19"/>
        <w:keepNext w:val="0"/>
        <w:keepLines w:val="0"/>
        <w:pageBreakBefore w:val="0"/>
        <w:widowControl/>
        <w:kinsoku/>
        <w:wordWrap/>
        <w:overflowPunct/>
        <w:topLinePunct w:val="0"/>
        <w:autoSpaceDE/>
        <w:autoSpaceDN/>
        <w:bidi w:val="0"/>
        <w:adjustRightInd/>
        <w:snapToGrid/>
        <w:jc w:val="both"/>
        <w:textAlignment w:val="auto"/>
      </w:pPr>
      <w:r>
        <w:t>第一条根据《中共廊坊市委办公室、廊坊市人民政府办公室关于印发《霸州市深化乡镇和街道改革方案〉的通知》(廊办字202010号)有关要求，结合东杨庄乡实际，制定本规定.</w:t>
      </w:r>
    </w:p>
    <w:p>
      <w:pPr>
        <w:pStyle w:val="19"/>
        <w:keepNext w:val="0"/>
        <w:keepLines w:val="0"/>
        <w:pageBreakBefore w:val="0"/>
        <w:widowControl/>
        <w:kinsoku/>
        <w:wordWrap/>
        <w:overflowPunct/>
        <w:topLinePunct w:val="0"/>
        <w:autoSpaceDE/>
        <w:autoSpaceDN/>
        <w:bidi w:val="0"/>
        <w:adjustRightInd/>
        <w:snapToGrid/>
        <w:jc w:val="both"/>
        <w:textAlignment w:val="auto"/>
      </w:pPr>
      <w:r>
        <w:t>第二条乡镇党委是党在农村的基层组织，是党在农村全部工作和战斗力的基础，全面领导本乡镇的工作和基层社会治理，支持和保证行政组织、经济组织和群众自治组织充分行使职权乡镇人大是基层地方国家权力机关，加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pPr>
        <w:pStyle w:val="19"/>
        <w:keepNext w:val="0"/>
        <w:keepLines w:val="0"/>
        <w:pageBreakBefore w:val="0"/>
        <w:widowControl/>
        <w:kinsoku/>
        <w:wordWrap/>
        <w:overflowPunct/>
        <w:topLinePunct w:val="0"/>
        <w:autoSpaceDE/>
        <w:autoSpaceDN/>
        <w:bidi w:val="0"/>
        <w:adjustRightInd/>
        <w:snapToGrid/>
        <w:jc w:val="both"/>
        <w:textAlignment w:val="auto"/>
      </w:pPr>
      <w:r>
        <w:t>第三条东杨庄乡党委、人大、政府主要职责</w:t>
      </w:r>
    </w:p>
    <w:p>
      <w:pPr>
        <w:pStyle w:val="19"/>
        <w:keepNext w:val="0"/>
        <w:keepLines w:val="0"/>
        <w:pageBreakBefore w:val="0"/>
        <w:widowControl/>
        <w:kinsoku/>
        <w:wordWrap/>
        <w:overflowPunct/>
        <w:topLinePunct w:val="0"/>
        <w:autoSpaceDE/>
        <w:autoSpaceDN/>
        <w:bidi w:val="0"/>
        <w:adjustRightInd/>
        <w:snapToGrid/>
        <w:jc w:val="both"/>
        <w:textAlignment w:val="auto"/>
      </w:pPr>
      <w:r>
        <w:t>(一)宣传贯彻执行党的路线方针政策和党中央、上级党组织及本乡党员代表大会(党员大会)的决议。贯彻执行法律、法规、规章和上级人民代表大会及其常务委员会决议及上级政府的决定和命令，执行本级人民代表大会的决议，</w:t>
      </w:r>
    </w:p>
    <w:p>
      <w:pPr>
        <w:pStyle w:val="19"/>
        <w:keepNext w:val="0"/>
        <w:keepLines w:val="0"/>
        <w:pageBreakBefore w:val="0"/>
        <w:widowControl/>
        <w:kinsoku/>
        <w:wordWrap/>
        <w:overflowPunct/>
        <w:topLinePunct w:val="0"/>
        <w:autoSpaceDE/>
        <w:autoSpaceDN/>
        <w:bidi w:val="0"/>
        <w:adjustRightInd/>
        <w:snapToGrid/>
        <w:jc w:val="both"/>
        <w:textAlignment w:val="auto"/>
      </w:pPr>
      <w:r>
        <w:t>(二)讨论和决定本乡经济建设、政治建设、文化建设、社会建设、生态文明建设和党的建设以及乡村振兴中的重大问题</w:t>
      </w:r>
    </w:p>
    <w:p>
      <w:pPr>
        <w:pStyle w:val="19"/>
        <w:keepNext w:val="0"/>
        <w:keepLines w:val="0"/>
        <w:pageBreakBefore w:val="0"/>
        <w:widowControl/>
        <w:kinsoku/>
        <w:wordWrap/>
        <w:overflowPunct/>
        <w:topLinePunct w:val="0"/>
        <w:autoSpaceDE/>
        <w:autoSpaceDN/>
        <w:bidi w:val="0"/>
        <w:adjustRightInd/>
        <w:snapToGrid/>
        <w:jc w:val="both"/>
        <w:textAlignment w:val="auto"/>
      </w:pPr>
      <w:r>
        <w:t>(三)组织召开本級人民代表大会，充分行使重大事项决定权、监督权和任免权，做好人大代表工作，联系选民、反映群众意见和要求。</w:t>
      </w:r>
    </w:p>
    <w:p>
      <w:pPr>
        <w:pStyle w:val="19"/>
        <w:keepNext w:val="0"/>
        <w:keepLines w:val="0"/>
        <w:pageBreakBefore w:val="0"/>
        <w:widowControl/>
        <w:kinsoku/>
        <w:wordWrap/>
        <w:overflowPunct/>
        <w:topLinePunct w:val="0"/>
        <w:autoSpaceDE/>
        <w:autoSpaceDN/>
        <w:bidi w:val="0"/>
        <w:adjustRightInd/>
        <w:snapToGrid/>
        <w:jc w:val="both"/>
        <w:textAlignment w:val="auto"/>
      </w:pPr>
      <w:r>
        <w:t>(四)执行本行政区域内的经济和社会发展计划、预算，管理本行政区城内的经济、教育、科学文化、卫生健康、体育事业和财政、统计、民政、司法行政等行政工作。落实本行政区域内发展规划，专项规划、区城规划、国土空间规划</w:t>
      </w:r>
    </w:p>
    <w:p>
      <w:pPr>
        <w:pStyle w:val="19"/>
        <w:keepNext w:val="0"/>
        <w:keepLines w:val="0"/>
        <w:pageBreakBefore w:val="0"/>
        <w:widowControl/>
        <w:kinsoku/>
        <w:wordWrap/>
        <w:overflowPunct/>
        <w:topLinePunct w:val="0"/>
        <w:autoSpaceDE/>
        <w:autoSpaceDN/>
        <w:bidi w:val="0"/>
        <w:adjustRightInd/>
        <w:snapToGrid/>
        <w:jc w:val="both"/>
        <w:textAlignment w:val="auto"/>
      </w:pPr>
      <w:r>
        <w:t>(五)乡党委领导乡政权机关、群团组织和其他各类组织，加强指导和规范，支持和保证这些机关和组织依照国家法律法规以及各自章程履行职责。坚持党管武装的根本原则和制度，协调各方力量，对乡人民武装工作实行统一领导</w:t>
      </w:r>
    </w:p>
    <w:p>
      <w:pPr>
        <w:pStyle w:val="19"/>
        <w:keepNext w:val="0"/>
        <w:keepLines w:val="0"/>
        <w:pageBreakBefore w:val="0"/>
        <w:widowControl/>
        <w:kinsoku/>
        <w:wordWrap/>
        <w:overflowPunct/>
        <w:topLinePunct w:val="0"/>
        <w:autoSpaceDE/>
        <w:autoSpaceDN/>
        <w:bidi w:val="0"/>
        <w:adjustRightInd/>
        <w:snapToGrid/>
        <w:jc w:val="both"/>
        <w:textAlignment w:val="auto"/>
      </w:pPr>
      <w:r>
        <w:t>(六)加强乡党委自身建设和村党组织建设，以及其他隶属乡党委的党组织建设，抓好发展党员工作，加强党员队伍建设。维护和执行党的纪律，监督党员干部和其他任何工作人员严格遵守国家法律法规</w:t>
      </w:r>
    </w:p>
    <w:p>
      <w:pPr>
        <w:pStyle w:val="19"/>
        <w:keepNext w:val="0"/>
        <w:keepLines w:val="0"/>
        <w:pageBreakBefore w:val="0"/>
        <w:widowControl/>
        <w:kinsoku/>
        <w:wordWrap/>
        <w:overflowPunct/>
        <w:topLinePunct w:val="0"/>
        <w:autoSpaceDE/>
        <w:autoSpaceDN/>
        <w:bidi w:val="0"/>
        <w:adjustRightInd/>
        <w:snapToGrid/>
        <w:jc w:val="both"/>
        <w:textAlignment w:val="auto"/>
      </w:pPr>
      <w:r>
        <w:t>(七)按照部管理权限，负责对干部的教育、培训、选拔、考核和监督工作。协助管理上级有关部门驻乡</w:t>
      </w:r>
      <w:r>
        <w:rPr>
          <w:rFonts w:hint="eastAsia"/>
          <w:lang w:eastAsia="zh-CN"/>
        </w:rPr>
        <w:t>部</w:t>
      </w:r>
      <w:r>
        <w:t>的千部，做好人才服务工作</w:t>
      </w:r>
    </w:p>
    <w:p>
      <w:pPr>
        <w:pStyle w:val="19"/>
        <w:keepNext w:val="0"/>
        <w:keepLines w:val="0"/>
        <w:pageBreakBefore w:val="0"/>
        <w:widowControl/>
        <w:kinsoku/>
        <w:wordWrap/>
        <w:overflowPunct/>
        <w:topLinePunct w:val="0"/>
        <w:autoSpaceDE/>
        <w:autoSpaceDN/>
        <w:bidi w:val="0"/>
        <w:adjustRightInd/>
        <w:snapToGrid/>
        <w:jc w:val="both"/>
        <w:textAlignment w:val="auto"/>
      </w:pPr>
      <w:r>
        <w:t>(八)领导本乡的基层治理，加强社会主义民主法治建设和精神文明建设，加强社会治安综合治理，做好应急管理、生环保、乡村振兴、民生保障、脱贫致富、民族宗教、防范邪教等工作。承担民兵预备役、征兵、退役军人服务、拥军优属等工作。</w:t>
      </w:r>
    </w:p>
    <w:p>
      <w:pPr>
        <w:pStyle w:val="19"/>
        <w:keepNext w:val="0"/>
        <w:keepLines w:val="0"/>
        <w:pageBreakBefore w:val="0"/>
        <w:widowControl/>
        <w:kinsoku/>
        <w:wordWrap/>
        <w:overflowPunct/>
        <w:topLinePunct w:val="0"/>
        <w:autoSpaceDE/>
        <w:autoSpaceDN/>
        <w:bidi w:val="0"/>
        <w:adjustRightInd/>
        <w:snapToGrid/>
        <w:jc w:val="both"/>
        <w:textAlignment w:val="auto"/>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予妇女的男女平等、同工同酬和婚姻自由等各项权利。</w:t>
      </w:r>
    </w:p>
    <w:p>
      <w:pPr>
        <w:pStyle w:val="19"/>
        <w:keepNext w:val="0"/>
        <w:keepLines w:val="0"/>
        <w:pageBreakBefore w:val="0"/>
        <w:widowControl/>
        <w:kinsoku/>
        <w:wordWrap/>
        <w:overflowPunct/>
        <w:topLinePunct w:val="0"/>
        <w:autoSpaceDE/>
        <w:autoSpaceDN/>
        <w:bidi w:val="0"/>
        <w:adjustRightInd/>
        <w:snapToGrid/>
        <w:jc w:val="both"/>
        <w:textAlignment w:val="auto"/>
      </w:pPr>
      <w:r>
        <w:t>(十)承办上級党委、人大、政府交办的其他事项.</w:t>
      </w:r>
    </w:p>
    <w:p>
      <w:pPr>
        <w:pStyle w:val="19"/>
        <w:keepNext w:val="0"/>
        <w:keepLines w:val="0"/>
        <w:pageBreakBefore w:val="0"/>
        <w:widowControl/>
        <w:kinsoku/>
        <w:wordWrap/>
        <w:overflowPunct/>
        <w:topLinePunct w:val="0"/>
        <w:autoSpaceDE/>
        <w:autoSpaceDN/>
        <w:bidi w:val="0"/>
        <w:adjustRightInd/>
        <w:snapToGrid/>
        <w:jc w:val="both"/>
        <w:textAlignment w:val="auto"/>
      </w:pPr>
      <w:r>
        <w:t>第四条按照上述职能，东杨庄乡设置下列工作机构，机构规格均为股</w:t>
      </w:r>
    </w:p>
    <w:p>
      <w:pPr>
        <w:pStyle w:val="19"/>
        <w:keepNext w:val="0"/>
        <w:keepLines w:val="0"/>
        <w:pageBreakBefore w:val="0"/>
        <w:widowControl/>
        <w:kinsoku/>
        <w:wordWrap/>
        <w:overflowPunct/>
        <w:topLinePunct w:val="0"/>
        <w:autoSpaceDE/>
        <w:autoSpaceDN/>
        <w:bidi w:val="0"/>
        <w:adjustRightInd/>
        <w:snapToGrid/>
        <w:jc w:val="both"/>
        <w:textAlignment w:val="auto"/>
      </w:pPr>
      <w:r>
        <w:t>(一)党政综合办公室(财政所)主要承担乡党委、政府日常事务;负责乡各部门的综合协调、行政事务等工作;负责文秘、会务、督査、信息、档案、保密、机要、后勤保障等日常工作负责财务、资产管理等方面工作;负责辖区统计调工作;完成乡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二)党建工作办公室(人大主席团办公室)负责党的政治建设、组织建设、思想宣传、精神文明建设、统战，侨务、民族宗教等方面工作;负责落实基层党建责任制，基层服务型党组织建设、区城化党建和“两新”组织党建、居民区党建、党代表联络服务等方面工作;负责大主席团的日常工作;负责党员教育管理、干部考核、人事管理、机构编制、老干部管理等方面工作;负责工会、共青团、妇联等方面工作;负责党务公开工作;负责对务内部审计监督工作;完成乡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三)应急管理办公室。负责辖区安全生产监督管理工作;负责辖区消防防汛抗洪、抗、防灾减灾、突发事件应急处置与管理、自然灾害助和救助款物管理、护林和森林草原防火等方面工作;按权限负责辖区食品安全、乡村道路交通安全等方面监督管理工作;完成乡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禽遗传保护、市容村容和环境卫生、农村生活污水管理，土壤污染防治利用、河湖水资源保护、水域岸线管理、水污染防治、水环境治理、地下水管理、大气污染防治突发环境事件应急处置、水土保持、人居环境改善、扬尘污染防治、禽养殖污染防治、禁止露天焚烧秸秆、“散乱污”企业综合整治等相关工作;完成乡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城内各条块管理服务力量;负责对平台接收事项的交办、跟踪和督办;负责区内的信息受理、工单派发、辅助决策等工作，及时收集多种途径排査出的民生诉求、矛盾纠纷、问题隐患等信息，并进行汇总梳理、分析研判，根据事件类别和情况，派发给乡相关职能机构进行处置，或按程序上报市级综合指挥平台处置;负责辖区信用体系建设、社会综合治理、调解各类纠纷等相关工作;负责辖区信访维稳工作;协调辖区法庭、派出所、司法所相关工作;完成乡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乡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七)农业综合服务中心(经济发展中心).负责辖区农业畜牧、水利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査;按照权限落实好农村重点改革任务;负责“气代”、燃气供热管理有关工作;完成乡党委、政府交办的其他工作根据中央和省委有关要求，单独设置退役军人服务站。负责依照法定权限，做好本辖区的征兵、民兵、预备役、国防教育国民经济动员、人民防空、国防交通、国防设施保护、拥军优属退役军人服务等工作;完成乡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第五条东杨庄乡编制56名(行政编制28名，事业编制28名)党委委员职数9名，其中:党委书记1名，副书记2名(含政府正职)人大主席1名，副主席1-2名;乡政府领导班子职数4名。积极推进县级公安派出所长由乡镇政府副职兼任。纪委书记1名、副书记1名。党建工作办公室、综合行政执法队、行政综合服务中心设主任(队长)各1名，按副科级干部配备，股级领导职数18名，其中:正股级11名(含纪委副书记、团委书记、妇联主席)，副股级7名另根据上级规定配备专职党委组织员1名(按职级序列掌握)，宗教专干1名</w:t>
      </w:r>
    </w:p>
    <w:p>
      <w:pPr>
        <w:pStyle w:val="19"/>
        <w:keepNext w:val="0"/>
        <w:keepLines w:val="0"/>
        <w:pageBreakBefore w:val="0"/>
        <w:widowControl/>
        <w:kinsoku/>
        <w:wordWrap/>
        <w:overflowPunct/>
        <w:topLinePunct w:val="0"/>
        <w:autoSpaceDE/>
        <w:autoSpaceDN/>
        <w:bidi w:val="0"/>
        <w:adjustRightInd/>
        <w:snapToGrid/>
        <w:jc w:val="both"/>
        <w:textAlignment w:val="auto"/>
      </w:pPr>
      <w:r>
        <w:t>第六条乡纪检、监委、入武部和工会、共青团、妇联等群团组织按有关规定和章程设置</w:t>
      </w:r>
    </w:p>
    <w:p>
      <w:pPr>
        <w:pStyle w:val="19"/>
        <w:keepNext w:val="0"/>
        <w:keepLines w:val="0"/>
        <w:pageBreakBefore w:val="0"/>
        <w:widowControl/>
        <w:kinsoku/>
        <w:wordWrap/>
        <w:overflowPunct/>
        <w:topLinePunct w:val="0"/>
        <w:autoSpaceDE/>
        <w:autoSpaceDN/>
        <w:bidi w:val="0"/>
        <w:adjustRightInd/>
        <w:snapToGrid/>
        <w:jc w:val="both"/>
        <w:textAlignment w:val="auto"/>
      </w:pPr>
      <w:r>
        <w:t>第七条继续实行派驻体制的公安派出所(分局)、税务所市场监管分局、司法所、动物防疫站等，其机构和力量要纳入乡镇统一指挥协调，工作考核和主要负责人任免，要听取乡镇党委意见。</w:t>
      </w:r>
    </w:p>
    <w:p>
      <w:pPr>
        <w:pStyle w:val="19"/>
        <w:keepNext w:val="0"/>
        <w:keepLines w:val="0"/>
        <w:pageBreakBefore w:val="0"/>
        <w:widowControl/>
        <w:kinsoku/>
        <w:wordWrap/>
        <w:overflowPunct/>
        <w:topLinePunct w:val="0"/>
        <w:autoSpaceDE/>
        <w:autoSpaceDN/>
        <w:bidi w:val="0"/>
        <w:adjustRightInd/>
        <w:snapToGrid/>
        <w:jc w:val="both"/>
        <w:textAlignment w:val="auto"/>
      </w:pPr>
      <w:r>
        <w:t>第八条本规定由中共霸州市委机构编制委员会办公室负责解释，其调整由中共霸州市委机枃编制委员会办公室按规定程序办理</w:t>
      </w:r>
    </w:p>
    <w:p>
      <w:pPr>
        <w:pStyle w:val="19"/>
        <w:keepNext w:val="0"/>
        <w:keepLines w:val="0"/>
        <w:pageBreakBefore w:val="0"/>
        <w:widowControl/>
        <w:kinsoku/>
        <w:wordWrap/>
        <w:overflowPunct/>
        <w:topLinePunct w:val="0"/>
        <w:autoSpaceDE/>
        <w:autoSpaceDN/>
        <w:bidi w:val="0"/>
        <w:adjustRightInd/>
        <w:snapToGrid/>
        <w:jc w:val="both"/>
        <w:textAlignment w:val="auto"/>
      </w:pPr>
      <w:r>
        <w:t>第九条本规定自2020年4月24日起施行</w:t>
      </w: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p>
    <w:p>
      <w:pPr>
        <w:pStyle w:val="19"/>
        <w:keepNext w:val="0"/>
        <w:keepLines w:val="0"/>
        <w:pageBreakBefore w:val="0"/>
        <w:widowControl/>
        <w:kinsoku/>
        <w:wordWrap/>
        <w:overflowPunct/>
        <w:topLinePunct w:val="0"/>
        <w:autoSpaceDE/>
        <w:autoSpaceDN/>
        <w:bidi w:val="0"/>
        <w:adjustRightInd/>
        <w:snapToGrid/>
        <w:jc w:val="both"/>
        <w:textAlignment w:val="auto"/>
      </w:pPr>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pPr>
      <w:r>
        <w:rPr>
          <w:rFonts w:ascii="方正楷体_GBK" w:hAnsi="方正楷体_GBK" w:eastAsia="方正楷体_GBK" w:cs="方正楷体_GBK"/>
          <w:b/>
          <w:color w:val="000000"/>
          <w:sz w:val="32"/>
        </w:rPr>
        <w:t>机构设置：</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textAlignment w:val="auto"/>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rPr>
                <w:rFonts w:hint="eastAsia"/>
                <w:lang w:eastAsia="zh-CN"/>
              </w:rPr>
              <w:t>部门</w:t>
            </w:r>
            <w:r>
              <w:t>名称</w:t>
            </w:r>
          </w:p>
        </w:tc>
        <w:tc>
          <w:tcPr>
            <w:tcW w:w="1843"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rPr>
                <w:rFonts w:hint="eastAsia"/>
                <w:lang w:eastAsia="zh-CN"/>
              </w:rPr>
              <w:t>部门</w:t>
            </w:r>
            <w:r>
              <w:t>性质</w:t>
            </w:r>
          </w:p>
        </w:tc>
        <w:tc>
          <w:tcPr>
            <w:tcW w:w="2126"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rPr>
                <w:rFonts w:hint="eastAsia"/>
                <w:lang w:eastAsia="zh-CN"/>
              </w:rPr>
              <w:t>部门</w:t>
            </w:r>
            <w:r>
              <w:t>规格</w:t>
            </w:r>
          </w:p>
        </w:tc>
        <w:tc>
          <w:tcPr>
            <w:tcW w:w="3827"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霸州市东杨庄乡人民政府本级</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行政</w:t>
            </w:r>
          </w:p>
        </w:tc>
        <w:tc>
          <w:tcPr>
            <w:tcW w:w="2126"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正科级</w:t>
            </w:r>
          </w:p>
        </w:tc>
        <w:tc>
          <w:tcPr>
            <w:tcW w:w="382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财政拨款</w:t>
            </w:r>
          </w:p>
        </w:tc>
      </w:tr>
    </w:tbl>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10" w:name="_Toc_3_3_0000000011"/>
      <w:r>
        <w:rPr>
          <w:rFonts w:ascii="黑体" w:hAnsi="黑体" w:eastAsia="黑体" w:cs="黑体"/>
          <w:color w:val="000000"/>
          <w:sz w:val="32"/>
        </w:rPr>
        <w:t>二、部门预算安排的总体情况</w:t>
      </w:r>
      <w:bookmarkEnd w:id="10"/>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按照预算管理有关规定，</w:t>
      </w:r>
      <w:r>
        <w:rPr>
          <w:rFonts w:hint="eastAsia" w:ascii="Times New Roman" w:hAnsi="Times New Roman" w:eastAsia="方正仿宋_GBK" w:cs="Times New Roman"/>
          <w:sz w:val="28"/>
          <w:szCs w:val="24"/>
          <w:lang w:val="en-US" w:eastAsia="uk-UA" w:bidi="ar-SA"/>
        </w:rPr>
        <w:t>目前我市部门预算的编制实行综合预算管理</w:t>
      </w:r>
      <w:r>
        <w:rPr>
          <w:rFonts w:ascii="Times New Roman" w:hAnsi="Times New Roman" w:eastAsia="方正仿宋_GBK" w:cs="Times New Roman"/>
          <w:sz w:val="28"/>
          <w:szCs w:val="24"/>
          <w:lang w:val="en-US" w:eastAsia="uk-UA" w:bidi="ar-SA"/>
        </w:rPr>
        <w:t>，即全部收入和支出都反映在预算中。霸州市东杨庄乡机关及所属事业</w:t>
      </w:r>
      <w:r>
        <w:rPr>
          <w:rFonts w:hint="eastAsia" w:eastAsia="方正仿宋_GBK" w:cs="Times New Roman"/>
          <w:sz w:val="28"/>
          <w:szCs w:val="24"/>
          <w:lang w:val="en-US" w:eastAsia="zh-CN" w:bidi="ar-SA"/>
        </w:rPr>
        <w:t>部门</w:t>
      </w:r>
      <w:r>
        <w:rPr>
          <w:rFonts w:ascii="Times New Roman" w:hAnsi="Times New Roman" w:eastAsia="方正仿宋_GBK" w:cs="Times New Roman"/>
          <w:sz w:val="28"/>
          <w:szCs w:val="24"/>
          <w:lang w:val="en-US" w:eastAsia="uk-UA" w:bidi="ar-SA"/>
        </w:rPr>
        <w:t>的收支包含在部门预算中。</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1、收入说明</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反映本</w:t>
      </w:r>
      <w:r>
        <w:rPr>
          <w:rFonts w:hint="eastAsia" w:eastAsia="方正仿宋_GBK" w:cs="Times New Roman"/>
          <w:sz w:val="28"/>
          <w:szCs w:val="24"/>
          <w:lang w:val="en-US" w:eastAsia="zh-CN" w:bidi="ar-SA"/>
        </w:rPr>
        <w:t>部门</w:t>
      </w:r>
      <w:r>
        <w:rPr>
          <w:rFonts w:hint="eastAsia" w:ascii="Times New Roman" w:hAnsi="Times New Roman" w:eastAsia="方正仿宋_GBK" w:cs="Times New Roman"/>
          <w:sz w:val="28"/>
          <w:szCs w:val="24"/>
          <w:lang w:val="en-US" w:eastAsia="uk-UA" w:bidi="ar-SA"/>
        </w:rPr>
        <w:t>当年全部收入。2023年预算收入</w:t>
      </w:r>
      <w:r>
        <w:rPr>
          <w:rFonts w:hint="eastAsia" w:eastAsia="方正仿宋_GBK" w:cs="Times New Roman"/>
          <w:sz w:val="28"/>
          <w:szCs w:val="24"/>
          <w:lang w:val="en-US" w:eastAsia="zh-CN" w:bidi="ar-SA"/>
        </w:rPr>
        <w:t>1667.5</w:t>
      </w:r>
      <w:r>
        <w:rPr>
          <w:rFonts w:hint="eastAsia" w:ascii="Times New Roman" w:hAnsi="Times New Roman" w:eastAsia="方正仿宋_GBK" w:cs="Times New Roman"/>
          <w:sz w:val="28"/>
          <w:szCs w:val="24"/>
          <w:lang w:val="en-US" w:eastAsia="uk-UA" w:bidi="ar-SA"/>
        </w:rPr>
        <w:t>万元，其中：一般公共预算收入</w:t>
      </w:r>
      <w:r>
        <w:rPr>
          <w:rFonts w:hint="eastAsia" w:eastAsia="方正仿宋_GBK" w:cs="Times New Roman"/>
          <w:sz w:val="28"/>
          <w:szCs w:val="24"/>
          <w:lang w:val="en-US" w:eastAsia="zh-CN" w:bidi="ar-SA"/>
        </w:rPr>
        <w:t>1656.5</w:t>
      </w:r>
      <w:r>
        <w:rPr>
          <w:rFonts w:hint="eastAsia" w:ascii="Times New Roman" w:hAnsi="Times New Roman" w:eastAsia="方正仿宋_GBK" w:cs="Times New Roman"/>
          <w:sz w:val="28"/>
          <w:szCs w:val="24"/>
          <w:lang w:val="en-US" w:eastAsia="uk-UA" w:bidi="ar-SA"/>
        </w:rPr>
        <w:t>万元，基金预算收入</w:t>
      </w:r>
      <w:r>
        <w:rPr>
          <w:rFonts w:hint="eastAsia" w:eastAsia="方正仿宋_GBK" w:cs="Times New Roman"/>
          <w:sz w:val="28"/>
          <w:szCs w:val="24"/>
          <w:lang w:val="en-US" w:eastAsia="zh-CN" w:bidi="ar-SA"/>
        </w:rPr>
        <w:t>8</w:t>
      </w:r>
      <w:r>
        <w:rPr>
          <w:rFonts w:hint="eastAsia" w:ascii="Times New Roman" w:hAnsi="Times New Roman" w:eastAsia="方正仿宋_GBK" w:cs="Times New Roman"/>
          <w:sz w:val="28"/>
          <w:szCs w:val="24"/>
          <w:lang w:val="en-US" w:eastAsia="uk-UA" w:bidi="ar-SA"/>
        </w:rPr>
        <w:t>万元，财政专户核拨收入</w:t>
      </w:r>
      <w:r>
        <w:rPr>
          <w:rFonts w:hint="eastAsia"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万元，其他来源收入</w:t>
      </w:r>
      <w:r>
        <w:rPr>
          <w:rFonts w:hint="eastAsia"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万元，上年结转</w:t>
      </w:r>
      <w:r>
        <w:rPr>
          <w:rFonts w:hint="eastAsia"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万元。</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2、支出说明</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uk-UA"/>
        </w:rPr>
        <w:t>收支预算总表支出栏、基本支出表、项目支出表按经济分类和支出功能分类科目编制，反映霸州市</w:t>
      </w:r>
      <w:r>
        <w:rPr>
          <w:rFonts w:hint="eastAsia" w:ascii="Times New Roman" w:hAnsi="Times New Roman" w:eastAsia="方正仿宋_GBK" w:cs="Times New Roman"/>
          <w:color w:val="000000"/>
          <w:sz w:val="28"/>
          <w:lang w:val="en-US" w:eastAsia="zh-CN"/>
        </w:rPr>
        <w:t>东杨庄乡人民政府</w:t>
      </w:r>
      <w:r>
        <w:rPr>
          <w:rFonts w:hint="eastAsia" w:ascii="Times New Roman" w:hAnsi="Times New Roman" w:eastAsia="方正仿宋_GBK" w:cs="Times New Roman"/>
          <w:color w:val="000000"/>
          <w:sz w:val="28"/>
          <w:lang w:val="en-US" w:eastAsia="uk-UA"/>
        </w:rPr>
        <w:t>2023年度</w:t>
      </w:r>
      <w:r>
        <w:rPr>
          <w:rFonts w:hint="eastAsia" w:eastAsia="方正仿宋_GBK" w:cs="Times New Roman"/>
          <w:color w:val="000000"/>
          <w:sz w:val="28"/>
          <w:lang w:val="en-US" w:eastAsia="zh-CN"/>
        </w:rPr>
        <w:t>部门</w:t>
      </w:r>
      <w:r>
        <w:rPr>
          <w:rFonts w:hint="eastAsia" w:ascii="Times New Roman" w:hAnsi="Times New Roman" w:eastAsia="方正仿宋_GBK" w:cs="Times New Roman"/>
          <w:color w:val="000000"/>
          <w:sz w:val="28"/>
          <w:lang w:val="en-US" w:eastAsia="uk-UA"/>
        </w:rPr>
        <w:t>预算中支出预算的总体情况。2023年支出预算</w:t>
      </w:r>
      <w:r>
        <w:rPr>
          <w:rFonts w:hint="eastAsia" w:ascii="Times New Roman" w:hAnsi="Times New Roman" w:eastAsia="方正仿宋_GBK" w:cs="Times New Roman"/>
          <w:color w:val="000000"/>
          <w:sz w:val="28"/>
          <w:lang w:val="en-US" w:eastAsia="zh-CN"/>
        </w:rPr>
        <w:t>1667.5</w:t>
      </w:r>
      <w:r>
        <w:rPr>
          <w:rFonts w:hint="eastAsia" w:ascii="Times New Roman" w:hAnsi="Times New Roman" w:eastAsia="方正仿宋_GBK" w:cs="Times New Roman"/>
          <w:color w:val="000000"/>
          <w:sz w:val="28"/>
          <w:lang w:val="en-US" w:eastAsia="uk-UA"/>
        </w:rPr>
        <w:t>万元，其中：基本支出</w:t>
      </w:r>
      <w:r>
        <w:rPr>
          <w:rFonts w:hint="eastAsia" w:ascii="Times New Roman" w:hAnsi="Times New Roman" w:eastAsia="方正仿宋_GBK" w:cs="Times New Roman"/>
          <w:color w:val="000000"/>
          <w:sz w:val="28"/>
          <w:lang w:val="en-US" w:eastAsia="zh-CN"/>
        </w:rPr>
        <w:t>1253.82</w:t>
      </w:r>
      <w:r>
        <w:rPr>
          <w:rFonts w:hint="eastAsia" w:ascii="Times New Roman" w:hAnsi="Times New Roman" w:eastAsia="方正仿宋_GBK" w:cs="Times New Roman"/>
          <w:color w:val="000000"/>
          <w:sz w:val="28"/>
          <w:lang w:val="en-US" w:eastAsia="uk-UA"/>
        </w:rPr>
        <w:t>万元，包括人员经费</w:t>
      </w:r>
      <w:r>
        <w:rPr>
          <w:rFonts w:hint="eastAsia" w:ascii="Times New Roman" w:hAnsi="Times New Roman" w:eastAsia="方正仿宋_GBK" w:cs="Times New Roman"/>
          <w:color w:val="000000"/>
          <w:sz w:val="28"/>
          <w:lang w:val="en-US" w:eastAsia="zh-CN"/>
        </w:rPr>
        <w:t>1106.41</w:t>
      </w:r>
      <w:r>
        <w:rPr>
          <w:rFonts w:hint="eastAsia" w:ascii="Times New Roman" w:hAnsi="Times New Roman" w:eastAsia="方正仿宋_GBK" w:cs="Times New Roman"/>
          <w:color w:val="000000"/>
          <w:sz w:val="28"/>
          <w:lang w:val="en-US" w:eastAsia="uk-UA"/>
        </w:rPr>
        <w:t>万元和日常公用经费</w:t>
      </w:r>
      <w:r>
        <w:rPr>
          <w:rFonts w:hint="eastAsia" w:ascii="Times New Roman" w:hAnsi="Times New Roman" w:eastAsia="方正仿宋_GBK" w:cs="Times New Roman"/>
          <w:color w:val="000000"/>
          <w:sz w:val="28"/>
          <w:lang w:val="en-US" w:eastAsia="zh-CN"/>
        </w:rPr>
        <w:t>147.41</w:t>
      </w:r>
      <w:r>
        <w:rPr>
          <w:rFonts w:hint="eastAsia" w:ascii="Times New Roman" w:hAnsi="Times New Roman" w:eastAsia="方正仿宋_GBK" w:cs="Times New Roman"/>
          <w:color w:val="000000"/>
          <w:sz w:val="28"/>
          <w:lang w:val="en-US" w:eastAsia="uk-UA"/>
        </w:rPr>
        <w:t>万元；项目支出</w:t>
      </w:r>
      <w:r>
        <w:rPr>
          <w:rFonts w:hint="eastAsia" w:ascii="Times New Roman" w:hAnsi="Times New Roman" w:eastAsia="方正仿宋_GBK" w:cs="Times New Roman"/>
          <w:color w:val="000000"/>
          <w:sz w:val="28"/>
          <w:lang w:val="en-US" w:eastAsia="zh-CN"/>
        </w:rPr>
        <w:t>413.68</w:t>
      </w:r>
      <w:r>
        <w:rPr>
          <w:rFonts w:hint="eastAsia" w:ascii="Times New Roman" w:hAnsi="Times New Roman" w:eastAsia="方正仿宋_GBK" w:cs="Times New Roman"/>
          <w:color w:val="000000"/>
          <w:sz w:val="28"/>
          <w:lang w:val="en-US" w:eastAsia="uk-UA"/>
        </w:rPr>
        <w:t>万元，主要为：关于提前下达2023年村级党组织服务群众专项经费的通知、提前下达东杨庄乡孙家坊村道路硬化及配套排水项目资金（冀财预[2022]85号）</w:t>
      </w:r>
      <w:r>
        <w:rPr>
          <w:rFonts w:hint="eastAsia" w:ascii="Times New Roman" w:hAnsi="Times New Roman" w:eastAsia="方正仿宋_GBK" w:cs="Times New Roman"/>
          <w:color w:val="000000"/>
          <w:sz w:val="28"/>
          <w:lang w:val="en-US" w:eastAsia="zh-CN"/>
        </w:rPr>
        <w:t>、提前下达东杨庄乡中段村道路硬化及配套排水项目资金（冀财预[2022]85号）、信访维稳工作经费、河道综合整治资金</w:t>
      </w:r>
      <w:r>
        <w:rPr>
          <w:rFonts w:hint="eastAsia" w:ascii="Times New Roman" w:hAnsi="Times New Roman" w:eastAsia="方正仿宋_GBK" w:cs="Times New Roman"/>
          <w:color w:val="000000"/>
          <w:sz w:val="28"/>
        </w:rPr>
        <w:t>。</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3、比上年增减情况</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2023年预算收支安排</w:t>
      </w:r>
      <w:r>
        <w:rPr>
          <w:rFonts w:hint="eastAsia" w:eastAsia="方正仿宋_GBK" w:cs="Times New Roman"/>
          <w:color w:val="000000"/>
          <w:sz w:val="28"/>
          <w:lang w:val="en-US" w:eastAsia="zh-CN"/>
        </w:rPr>
        <w:t>1667.5</w:t>
      </w:r>
      <w:r>
        <w:rPr>
          <w:rFonts w:hint="eastAsia" w:ascii="Times New Roman" w:hAnsi="Times New Roman" w:eastAsia="方正仿宋_GBK" w:cs="Times New Roman"/>
          <w:color w:val="000000"/>
          <w:sz w:val="28"/>
        </w:rPr>
        <w:t>万元，较2022年预算增加</w:t>
      </w:r>
      <w:r>
        <w:rPr>
          <w:rFonts w:hint="eastAsia" w:eastAsia="方正仿宋_GBK" w:cs="Times New Roman"/>
          <w:color w:val="000000"/>
          <w:sz w:val="28"/>
          <w:lang w:val="en-US" w:eastAsia="zh-CN"/>
        </w:rPr>
        <w:t>105.96</w:t>
      </w:r>
      <w:r>
        <w:rPr>
          <w:rFonts w:hint="eastAsia" w:ascii="Times New Roman" w:hAnsi="Times New Roman" w:eastAsia="方正仿宋_GBK" w:cs="Times New Roman"/>
          <w:color w:val="000000"/>
          <w:sz w:val="28"/>
        </w:rPr>
        <w:t>万元，其中：基本支出增加</w:t>
      </w:r>
      <w:r>
        <w:rPr>
          <w:rFonts w:hint="eastAsia" w:eastAsia="方正仿宋_GBK" w:cs="Times New Roman"/>
          <w:color w:val="000000"/>
          <w:sz w:val="28"/>
          <w:lang w:val="en-US" w:eastAsia="zh-CN"/>
        </w:rPr>
        <w:t>163.26</w:t>
      </w:r>
      <w:r>
        <w:rPr>
          <w:rFonts w:hint="eastAsia" w:ascii="Times New Roman" w:hAnsi="Times New Roman" w:eastAsia="方正仿宋_GBK" w:cs="Times New Roman"/>
          <w:color w:val="000000"/>
          <w:sz w:val="28"/>
        </w:rPr>
        <w:t>万元，主要为</w:t>
      </w:r>
      <w:r>
        <w:rPr>
          <w:rFonts w:hint="eastAsia" w:eastAsia="方正仿宋_GBK" w:cs="Times New Roman"/>
          <w:color w:val="000000"/>
          <w:sz w:val="28"/>
          <w:lang w:eastAsia="zh-CN"/>
        </w:rPr>
        <w:t>人员经费</w:t>
      </w:r>
      <w:r>
        <w:rPr>
          <w:rFonts w:hint="eastAsia" w:ascii="Times New Roman" w:hAnsi="Times New Roman" w:eastAsia="方正仿宋_GBK" w:cs="Times New Roman"/>
          <w:color w:val="000000"/>
          <w:sz w:val="28"/>
        </w:rPr>
        <w:t>支出；项目支出减少</w:t>
      </w:r>
      <w:r>
        <w:rPr>
          <w:rFonts w:hint="eastAsia" w:eastAsia="方正仿宋_GBK" w:cs="Times New Roman"/>
          <w:color w:val="000000"/>
          <w:sz w:val="28"/>
          <w:lang w:val="en-US" w:eastAsia="zh-CN"/>
        </w:rPr>
        <w:t>57.3</w:t>
      </w:r>
      <w:r>
        <w:rPr>
          <w:rFonts w:hint="eastAsia" w:ascii="Times New Roman" w:hAnsi="Times New Roman" w:eastAsia="方正仿宋_GBK" w:cs="Times New Roman"/>
          <w:color w:val="000000"/>
          <w:sz w:val="28"/>
        </w:rPr>
        <w:t>万元，主要为</w:t>
      </w:r>
      <w:r>
        <w:rPr>
          <w:rFonts w:hint="eastAsia" w:eastAsia="方正仿宋_GBK" w:cs="Times New Roman"/>
          <w:sz w:val="28"/>
          <w:szCs w:val="24"/>
          <w:lang w:val="en-US" w:eastAsia="zh-CN" w:bidi="ar-SA"/>
        </w:rPr>
        <w:t>河道综合整治资金</w:t>
      </w:r>
      <w:r>
        <w:rPr>
          <w:rFonts w:hint="eastAsia" w:ascii="Times New Roman" w:hAnsi="Times New Roman" w:eastAsia="方正仿宋_GBK" w:cs="Times New Roman"/>
          <w:color w:val="000000"/>
          <w:sz w:val="28"/>
        </w:rPr>
        <w:t>项目支出。</w:t>
      </w:r>
    </w:p>
    <w:p>
      <w:pPr>
        <w:pStyle w:val="20"/>
        <w:keepNext w:val="0"/>
        <w:keepLines w:val="0"/>
        <w:pageBreakBefore w:val="0"/>
        <w:widowControl/>
        <w:kinsoku/>
        <w:wordWrap/>
        <w:overflowPunct/>
        <w:topLinePunct w:val="0"/>
        <w:autoSpaceDE/>
        <w:autoSpaceDN/>
        <w:bidi w:val="0"/>
        <w:adjustRightInd/>
        <w:snapToGrid/>
        <w:jc w:val="both"/>
        <w:textAlignment w:val="auto"/>
      </w:pPr>
    </w:p>
    <w:p>
      <w:pPr>
        <w:keepNext w:val="0"/>
        <w:keepLines w:val="0"/>
        <w:pageBreakBefore w:val="0"/>
        <w:widowControl/>
        <w:numPr>
          <w:ilvl w:val="0"/>
          <w:numId w:val="1"/>
        </w:numPr>
        <w:kinsoku/>
        <w:wordWrap/>
        <w:overflowPunct/>
        <w:topLinePunct w:val="0"/>
        <w:autoSpaceDE/>
        <w:autoSpaceDN/>
        <w:bidi w:val="0"/>
        <w:adjustRightInd/>
        <w:snapToGrid/>
        <w:spacing w:before="10" w:after="10" w:line="360" w:lineRule="auto"/>
        <w:ind w:firstLine="640"/>
        <w:jc w:val="both"/>
        <w:textAlignment w:val="auto"/>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rPr>
          <w:rFonts w:hint="default"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2023年，我</w:t>
      </w:r>
      <w:r>
        <w:rPr>
          <w:rFonts w:hint="eastAsia" w:eastAsia="方正仿宋_GBK" w:cs="Times New Roman"/>
          <w:sz w:val="28"/>
          <w:szCs w:val="24"/>
          <w:lang w:val="en-US" w:eastAsia="zh-CN" w:bidi="ar-SA"/>
        </w:rPr>
        <w:t>部门</w:t>
      </w:r>
      <w:r>
        <w:rPr>
          <w:rFonts w:hint="eastAsia" w:ascii="Times New Roman" w:hAnsi="Times New Roman" w:eastAsia="方正仿宋_GBK" w:cs="Times New Roman"/>
          <w:sz w:val="28"/>
          <w:szCs w:val="24"/>
          <w:lang w:val="en-US" w:eastAsia="zh-CN" w:bidi="ar-SA"/>
        </w:rPr>
        <w:t>机关运行经费共计安排135.24万元，主要用于</w:t>
      </w:r>
      <w:r>
        <w:rPr>
          <w:rFonts w:hint="eastAsia" w:eastAsia="方正仿宋_GBK" w:cs="Times New Roman"/>
          <w:sz w:val="28"/>
          <w:szCs w:val="24"/>
          <w:lang w:val="en-US" w:eastAsia="zh-CN" w:bidi="ar-SA"/>
        </w:rPr>
        <w:t>办公区的日常维修、办公用房水电费、办公用房取暖费、办公及印刷费、邮电费、差旅费、会议费、福利费、专用材料及一般设备购置费、办公用房物业管理费、公务用车运行维护费</w:t>
      </w:r>
      <w:r>
        <w:rPr>
          <w:rFonts w:hint="eastAsia" w:ascii="Times New Roman" w:hAnsi="Times New Roman" w:eastAsia="方正仿宋_GBK" w:cs="Times New Roman"/>
          <w:sz w:val="28"/>
          <w:szCs w:val="24"/>
          <w:lang w:val="en-US" w:eastAsia="zh-CN" w:bidi="ar-SA"/>
        </w:rPr>
        <w:t>等日常运行支出。</w:t>
      </w:r>
    </w:p>
    <w:p>
      <w:pPr>
        <w:pStyle w:val="21"/>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pP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keepNext w:val="0"/>
        <w:keepLines w:val="0"/>
        <w:pageBreakBefore w:val="0"/>
        <w:widowControl/>
        <w:kinsoku/>
        <w:wordWrap/>
        <w:overflowPunct/>
        <w:topLinePunct w:val="0"/>
        <w:autoSpaceDE/>
        <w:autoSpaceDN/>
        <w:bidi w:val="0"/>
        <w:adjustRightInd/>
        <w:snapToGrid/>
        <w:jc w:val="both"/>
        <w:textAlignment w:val="auto"/>
        <w:rPr>
          <w:rFonts w:hint="eastAsia" w:ascii="Times New Roman" w:hAnsi="Times New Roman" w:eastAsia="方正仿宋_GBK" w:cs="Times New Roman"/>
          <w:color w:val="000000"/>
          <w:sz w:val="28"/>
          <w:szCs w:val="24"/>
          <w:lang w:val="en-US" w:eastAsia="zh-CN" w:bidi="ar-SA"/>
        </w:rPr>
      </w:pPr>
      <w:bookmarkStart w:id="13" w:name="_Toc_3_3_0000000014"/>
      <w:r>
        <w:rPr>
          <w:rFonts w:hint="eastAsia" w:ascii="Times New Roman" w:hAnsi="Times New Roman" w:eastAsia="方正仿宋_GBK"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023年，我</w:t>
      </w:r>
      <w:r>
        <w:rPr>
          <w:rFonts w:hint="eastAsia" w:cs="Times New Roman"/>
          <w:color w:val="000000"/>
          <w:sz w:val="28"/>
          <w:szCs w:val="24"/>
          <w:lang w:val="en-US" w:eastAsia="zh-CN" w:bidi="ar-SA"/>
        </w:rPr>
        <w:t>部门</w:t>
      </w:r>
      <w:r>
        <w:rPr>
          <w:rFonts w:hint="eastAsia" w:ascii="Times New Roman" w:hAnsi="Times New Roman" w:eastAsia="方正仿宋_GBK" w:cs="Times New Roman"/>
          <w:color w:val="000000"/>
          <w:sz w:val="28"/>
          <w:szCs w:val="24"/>
          <w:lang w:val="en-US" w:eastAsia="uk-UA" w:bidi="ar-SA"/>
        </w:rPr>
        <w:t>财政拨款“三公”经费预算安排</w:t>
      </w:r>
      <w:r>
        <w:rPr>
          <w:rFonts w:hint="eastAsia" w:cs="Times New Roman"/>
          <w:color w:val="000000"/>
          <w:sz w:val="28"/>
          <w:szCs w:val="24"/>
          <w:lang w:val="en-US" w:eastAsia="zh-CN" w:bidi="ar-SA"/>
        </w:rPr>
        <w:t>7.57</w:t>
      </w:r>
      <w:r>
        <w:rPr>
          <w:rFonts w:hint="eastAsia" w:ascii="Times New Roman" w:hAnsi="Times New Roman" w:eastAsia="方正仿宋_GBK" w:cs="Times New Roman"/>
          <w:color w:val="000000"/>
          <w:sz w:val="28"/>
          <w:szCs w:val="24"/>
          <w:lang w:val="en-US" w:eastAsia="uk-UA" w:bidi="ar-SA"/>
        </w:rPr>
        <w:t>万元。其中，因公出国（境）费</w:t>
      </w:r>
      <w:r>
        <w:rPr>
          <w:rFonts w:hint="eastAsia"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万元；公务用车购置及运维费</w:t>
      </w:r>
      <w:r>
        <w:rPr>
          <w:rFonts w:hint="eastAsia" w:cs="Times New Roman"/>
          <w:color w:val="000000"/>
          <w:sz w:val="28"/>
          <w:szCs w:val="24"/>
          <w:lang w:val="en-US" w:eastAsia="zh-CN" w:bidi="ar-SA"/>
        </w:rPr>
        <w:t>6.9</w:t>
      </w:r>
      <w:r>
        <w:rPr>
          <w:rFonts w:hint="eastAsia" w:ascii="Times New Roman" w:hAnsi="Times New Roman" w:eastAsia="方正仿宋_GBK" w:cs="Times New Roman"/>
          <w:color w:val="000000"/>
          <w:sz w:val="28"/>
          <w:szCs w:val="24"/>
          <w:lang w:val="en-US" w:eastAsia="uk-UA" w:bidi="ar-SA"/>
        </w:rPr>
        <w:t>万元（其中：公务用车购置费为</w:t>
      </w:r>
      <w:r>
        <w:rPr>
          <w:rFonts w:hint="eastAsia"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万元，公务用车运维费</w:t>
      </w:r>
      <w:r>
        <w:rPr>
          <w:rFonts w:hint="eastAsia" w:cs="Times New Roman"/>
          <w:color w:val="000000"/>
          <w:sz w:val="28"/>
          <w:szCs w:val="24"/>
          <w:lang w:val="en-US" w:eastAsia="zh-CN" w:bidi="ar-SA"/>
        </w:rPr>
        <w:t>6.9</w:t>
      </w:r>
      <w:r>
        <w:rPr>
          <w:rFonts w:hint="eastAsia" w:ascii="Times New Roman" w:hAnsi="Times New Roman" w:eastAsia="方正仿宋_GBK" w:cs="Times New Roman"/>
          <w:color w:val="000000"/>
          <w:sz w:val="28"/>
          <w:szCs w:val="24"/>
          <w:lang w:val="en-US" w:eastAsia="uk-UA" w:bidi="ar-SA"/>
        </w:rPr>
        <w:t>万元)；公务接待费</w:t>
      </w:r>
      <w:r>
        <w:rPr>
          <w:rFonts w:hint="eastAsia" w:cs="Times New Roman"/>
          <w:color w:val="000000"/>
          <w:sz w:val="28"/>
          <w:szCs w:val="24"/>
          <w:lang w:val="en-US" w:eastAsia="zh-CN" w:bidi="ar-SA"/>
        </w:rPr>
        <w:t>0.67</w:t>
      </w:r>
      <w:r>
        <w:rPr>
          <w:rFonts w:hint="eastAsia" w:ascii="Times New Roman" w:hAnsi="Times New Roman" w:eastAsia="方正仿宋_GBK" w:cs="Times New Roman"/>
          <w:color w:val="000000"/>
          <w:sz w:val="28"/>
          <w:szCs w:val="24"/>
          <w:lang w:val="en-US" w:eastAsia="uk-UA" w:bidi="ar-SA"/>
        </w:rPr>
        <w:t>万元。与2022年相比减少</w:t>
      </w:r>
      <w:r>
        <w:rPr>
          <w:rFonts w:hint="eastAsia" w:cs="Times New Roman"/>
          <w:color w:val="000000"/>
          <w:sz w:val="28"/>
          <w:szCs w:val="24"/>
          <w:lang w:val="en-US" w:eastAsia="zh-CN" w:bidi="ar-SA"/>
        </w:rPr>
        <w:t>0.28</w:t>
      </w:r>
      <w:r>
        <w:rPr>
          <w:rFonts w:hint="eastAsia" w:ascii="Times New Roman" w:hAnsi="Times New Roman" w:eastAsia="方正仿宋_GBK" w:cs="Times New Roman"/>
          <w:color w:val="000000"/>
          <w:sz w:val="28"/>
          <w:szCs w:val="24"/>
          <w:lang w:val="en-US" w:eastAsia="uk-UA" w:bidi="ar-SA"/>
        </w:rPr>
        <w:t>万元，其中，公务用车购置及运维费减少</w:t>
      </w:r>
      <w:r>
        <w:rPr>
          <w:rFonts w:hint="eastAsia" w:cs="Times New Roman"/>
          <w:color w:val="000000"/>
          <w:sz w:val="28"/>
          <w:szCs w:val="24"/>
          <w:lang w:val="en-US" w:eastAsia="zh-CN" w:bidi="ar-SA"/>
        </w:rPr>
        <w:t>0.23</w:t>
      </w:r>
      <w:r>
        <w:rPr>
          <w:rFonts w:hint="eastAsia" w:ascii="Times New Roman" w:hAnsi="Times New Roman" w:eastAsia="方正仿宋_GBK" w:cs="Times New Roman"/>
          <w:color w:val="000000"/>
          <w:sz w:val="28"/>
          <w:szCs w:val="24"/>
          <w:lang w:val="en-US" w:eastAsia="uk-UA" w:bidi="ar-SA"/>
        </w:rPr>
        <w:t>万元，主要原因是我</w:t>
      </w:r>
      <w:r>
        <w:rPr>
          <w:rFonts w:hint="eastAsia" w:cs="Times New Roman"/>
          <w:color w:val="000000"/>
          <w:sz w:val="28"/>
          <w:szCs w:val="24"/>
          <w:lang w:val="en-US" w:eastAsia="zh-CN" w:bidi="ar-SA"/>
        </w:rPr>
        <w:t>部门</w:t>
      </w:r>
      <w:r>
        <w:rPr>
          <w:rFonts w:hint="eastAsia" w:ascii="Times New Roman" w:hAnsi="Times New Roman" w:eastAsia="方正仿宋_GBK" w:cs="Times New Roman"/>
          <w:color w:val="000000"/>
          <w:sz w:val="28"/>
          <w:szCs w:val="24"/>
          <w:lang w:val="en-US" w:eastAsia="uk-UA" w:bidi="ar-SA"/>
        </w:rPr>
        <w:t>切实落实勤俭节约各项规定，压减公车运行经费支出。公务接待费减少</w:t>
      </w:r>
      <w:r>
        <w:rPr>
          <w:rFonts w:hint="eastAsia" w:cs="Times New Roman"/>
          <w:color w:val="000000"/>
          <w:sz w:val="28"/>
          <w:szCs w:val="24"/>
          <w:lang w:val="en-US" w:eastAsia="zh-CN" w:bidi="ar-SA"/>
        </w:rPr>
        <w:t>0.05</w:t>
      </w:r>
      <w:r>
        <w:rPr>
          <w:rFonts w:hint="eastAsia" w:ascii="Times New Roman" w:hAnsi="Times New Roman" w:eastAsia="方正仿宋_GBK" w:cs="Times New Roman"/>
          <w:color w:val="000000"/>
          <w:sz w:val="28"/>
          <w:szCs w:val="24"/>
          <w:lang w:val="en-US" w:eastAsia="uk-UA" w:bidi="ar-SA"/>
        </w:rPr>
        <w:t>万元，主要原因是我</w:t>
      </w:r>
      <w:r>
        <w:rPr>
          <w:rFonts w:hint="eastAsia" w:cs="Times New Roman"/>
          <w:color w:val="000000"/>
          <w:sz w:val="28"/>
          <w:szCs w:val="24"/>
          <w:lang w:val="en-US" w:eastAsia="zh-CN" w:bidi="ar-SA"/>
        </w:rPr>
        <w:t>部门</w:t>
      </w:r>
      <w:r>
        <w:rPr>
          <w:rFonts w:hint="eastAsia" w:ascii="Times New Roman" w:hAnsi="Times New Roman" w:eastAsia="方正仿宋_GBK" w:cs="Times New Roman"/>
          <w:color w:val="000000"/>
          <w:sz w:val="28"/>
          <w:szCs w:val="24"/>
          <w:lang w:val="en-US" w:eastAsia="uk-UA" w:bidi="ar-SA"/>
        </w:rPr>
        <w:t>切实落实勤俭节约各项规定，严格控制公务接待费支出</w:t>
      </w:r>
      <w:r>
        <w:rPr>
          <w:rFonts w:hint="eastAsia" w:cs="Times New Roman"/>
          <w:color w:val="000000"/>
          <w:sz w:val="28"/>
          <w:szCs w:val="24"/>
          <w:lang w:val="en-US" w:eastAsia="zh-CN" w:bidi="ar-SA"/>
        </w:rPr>
        <w:t>。</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r>
        <w:rPr>
          <w:rFonts w:ascii="黑体" w:hAnsi="黑体" w:eastAsia="黑体" w:cs="黑体"/>
          <w:color w:val="000000"/>
          <w:sz w:val="32"/>
        </w:rPr>
        <w:t>五、预算绩效信息</w:t>
      </w:r>
      <w:bookmarkEnd w:id="13"/>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pPr>
      <w:r>
        <w:rPr>
          <w:rFonts w:ascii="方正楷体_GBK" w:hAnsi="方正楷体_GBK" w:eastAsia="方正楷体_GBK" w:cs="方正楷体_GBK"/>
          <w:b/>
          <w:color w:val="000000"/>
          <w:sz w:val="32"/>
        </w:rPr>
        <w:t>第一部分 部门整体绩效目标</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（一）总体绩效目标</w:t>
      </w:r>
    </w:p>
    <w:p>
      <w:pPr>
        <w:pStyle w:val="23"/>
        <w:keepNext w:val="0"/>
        <w:keepLines w:val="0"/>
        <w:pageBreakBefore w:val="0"/>
        <w:widowControl/>
        <w:kinsoku/>
        <w:wordWrap/>
        <w:overflowPunct/>
        <w:topLinePunct w:val="0"/>
        <w:autoSpaceDE/>
        <w:autoSpaceDN/>
        <w:bidi w:val="0"/>
        <w:adjustRightInd/>
        <w:snapToGrid/>
        <w:jc w:val="both"/>
        <w:textAlignment w:val="auto"/>
      </w:pPr>
      <w:r>
        <w:t>加强党的领导,支持和保证行政组织、经济组织和群众自治组织充分行使职权,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（二）分项绩效目标</w:t>
      </w:r>
    </w:p>
    <w:p>
      <w:pPr>
        <w:pStyle w:val="24"/>
        <w:keepNext w:val="0"/>
        <w:keepLines w:val="0"/>
        <w:pageBreakBefore w:val="0"/>
        <w:widowControl/>
        <w:kinsoku/>
        <w:wordWrap/>
        <w:overflowPunct/>
        <w:topLinePunct w:val="0"/>
        <w:autoSpaceDE/>
        <w:autoSpaceDN/>
        <w:bidi w:val="0"/>
        <w:adjustRightInd/>
        <w:snapToGrid/>
        <w:jc w:val="both"/>
        <w:textAlignment w:val="auto"/>
      </w:pPr>
      <w:r>
        <w:t>（一）推进新型城镇化建设</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绩效目标：完成中段及孙家坊两村革命老区道路硬化及排水工程，改善革命老区生产生活条件；开展河道综合整治工作，疏通所有清淤路段过道管及收水口；加大“两违”拆除力度，坚决打击违法用地行为。</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绩效指标：改善革命老区生产生活条件；及时清淤保障全年河道淤堵天数小于10天；拆除私搭乱建面积4300平米。</w:t>
      </w:r>
    </w:p>
    <w:p>
      <w:pPr>
        <w:pStyle w:val="24"/>
        <w:keepNext w:val="0"/>
        <w:keepLines w:val="0"/>
        <w:pageBreakBefore w:val="0"/>
        <w:widowControl/>
        <w:kinsoku/>
        <w:wordWrap/>
        <w:overflowPunct/>
        <w:topLinePunct w:val="0"/>
        <w:autoSpaceDE/>
        <w:autoSpaceDN/>
        <w:bidi w:val="0"/>
        <w:adjustRightInd/>
        <w:snapToGrid/>
        <w:jc w:val="both"/>
        <w:textAlignment w:val="auto"/>
      </w:pPr>
      <w:r>
        <w:t>（二）打造生态文明宜居新城</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加强大气污染防治力度，开展秸秆禁烧工作；治理重点坑塘污水和垃圾；巡查治理我镇散乱污企业；对垃圾填埋场进行日常维护管理；对东杨庄乡辖区内进行环卫一体化保洁服务，对东杨庄乡辖区内公厕及垃圾转运站进行运行和维护。</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绩效指标：火情处置及时率达到100%，秸秆综合利用率达到95%以上；散乱污企业巡查覆盖率达到100%；；环卫一体化垃圾处理率达到100%。</w:t>
      </w:r>
    </w:p>
    <w:p>
      <w:pPr>
        <w:pStyle w:val="24"/>
        <w:keepNext w:val="0"/>
        <w:keepLines w:val="0"/>
        <w:pageBreakBefore w:val="0"/>
        <w:widowControl/>
        <w:kinsoku/>
        <w:wordWrap/>
        <w:overflowPunct/>
        <w:topLinePunct w:val="0"/>
        <w:autoSpaceDE/>
        <w:autoSpaceDN/>
        <w:bidi w:val="0"/>
        <w:adjustRightInd/>
        <w:snapToGrid/>
        <w:jc w:val="both"/>
        <w:textAlignment w:val="auto"/>
      </w:pPr>
      <w:r>
        <w:t>（三）加强基层党建工作</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绩效目标：加强基层党委和组织的建设，保障村级党组织和村委会办公费用充足，推动村党组织和村委会全面进步；完善基层政府政务公开。</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绩效指标：村党组织和村委会正常运转率达到100%；有效提升政务公开工作。</w:t>
      </w:r>
    </w:p>
    <w:p>
      <w:pPr>
        <w:pStyle w:val="24"/>
        <w:keepNext w:val="0"/>
        <w:keepLines w:val="0"/>
        <w:pageBreakBefore w:val="0"/>
        <w:widowControl/>
        <w:kinsoku/>
        <w:wordWrap/>
        <w:overflowPunct/>
        <w:topLinePunct w:val="0"/>
        <w:autoSpaceDE/>
        <w:autoSpaceDN/>
        <w:bidi w:val="0"/>
        <w:adjustRightInd/>
        <w:snapToGrid/>
        <w:jc w:val="both"/>
        <w:textAlignment w:val="auto"/>
      </w:pPr>
      <w:r>
        <w:t>（四）聚焦社会事业发展</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绩效目标：对高龄老人、离退休老党员、优抚人群以及生活困难群众进行慰问；深入开展化解信访积案集中行动。</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绩效指标：慰问及时率达到100%；发生信访事件响应及时率达到100%。</w:t>
      </w:r>
    </w:p>
    <w:p>
      <w:pPr>
        <w:pStyle w:val="24"/>
        <w:keepNext w:val="0"/>
        <w:keepLines w:val="0"/>
        <w:pageBreakBefore w:val="0"/>
        <w:widowControl/>
        <w:kinsoku/>
        <w:wordWrap/>
        <w:overflowPunct/>
        <w:topLinePunct w:val="0"/>
        <w:autoSpaceDE/>
        <w:autoSpaceDN/>
        <w:bidi w:val="0"/>
        <w:adjustRightInd/>
        <w:snapToGrid/>
        <w:jc w:val="both"/>
        <w:textAlignment w:val="auto"/>
      </w:pPr>
      <w:r>
        <w:t>（五）推进文化下乡进度</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绩效目标：开展文化下乡活动，是促进农村文化建设,改善农村社会风气,密切党群、干群关系,深入贯彻中国共产党党的十四届六中全会精神,大力推进农村精神文明建设,满足广大农民的精神文化生活需求。</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绩效指标：文化演出活动不少于4次，覆盖人群率达到75%。</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（三）工作保障措施</w:t>
      </w:r>
    </w:p>
    <w:p>
      <w:pPr>
        <w:pStyle w:val="25"/>
        <w:keepNext w:val="0"/>
        <w:keepLines w:val="0"/>
        <w:pageBreakBefore w:val="0"/>
        <w:widowControl/>
        <w:kinsoku/>
        <w:wordWrap/>
        <w:overflowPunct/>
        <w:topLinePunct w:val="0"/>
        <w:autoSpaceDE/>
        <w:autoSpaceDN/>
        <w:bidi w:val="0"/>
        <w:adjustRightInd/>
        <w:snapToGrid/>
        <w:jc w:val="both"/>
        <w:textAlignment w:val="auto"/>
      </w:pPr>
      <w:r>
        <w:t>（一）完善制度建设。制定完善预算绩效管理制度、资金管理办法、工作保障制度等，为全年预算绩效目标的实现奠定制度基础。</w:t>
      </w:r>
    </w:p>
    <w:p>
      <w:pPr>
        <w:pStyle w:val="25"/>
        <w:keepNext w:val="0"/>
        <w:keepLines w:val="0"/>
        <w:pageBreakBefore w:val="0"/>
        <w:widowControl/>
        <w:kinsoku/>
        <w:wordWrap/>
        <w:overflowPunct/>
        <w:topLinePunct w:val="0"/>
        <w:autoSpaceDE/>
        <w:autoSpaceDN/>
        <w:bidi w:val="0"/>
        <w:adjustRightInd/>
        <w:snapToGrid/>
        <w:jc w:val="both"/>
        <w:textAlignment w:val="auto"/>
      </w:pPr>
      <w:r>
        <w:t>（二）加强支出管理。通过优化支出结构、编细编实预算、加快履行政府采购手续、尽快启动项目、及时支付资金、按规定及时拨付资金等多种措施，确保支出进度达标。</w:t>
      </w:r>
    </w:p>
    <w:p>
      <w:pPr>
        <w:pStyle w:val="25"/>
        <w:keepNext w:val="0"/>
        <w:keepLines w:val="0"/>
        <w:pageBreakBefore w:val="0"/>
        <w:widowControl/>
        <w:kinsoku/>
        <w:wordWrap/>
        <w:overflowPunct/>
        <w:topLinePunct w:val="0"/>
        <w:autoSpaceDE/>
        <w:autoSpaceDN/>
        <w:bidi w:val="0"/>
        <w:adjustRightInd/>
        <w:snapToGrid/>
        <w:jc w:val="both"/>
        <w:textAlignment w:val="auto"/>
      </w:pPr>
      <w:r>
        <w:t>（三）加强绩效运行监控。按要求开展绩效运行监控，发现问题及时采取措施，确保绩效目标如期保质实现。</w:t>
      </w:r>
    </w:p>
    <w:p>
      <w:pPr>
        <w:pStyle w:val="25"/>
        <w:keepNext w:val="0"/>
        <w:keepLines w:val="0"/>
        <w:pageBreakBefore w:val="0"/>
        <w:widowControl/>
        <w:kinsoku/>
        <w:wordWrap/>
        <w:overflowPunct/>
        <w:topLinePunct w:val="0"/>
        <w:autoSpaceDE/>
        <w:autoSpaceDN/>
        <w:bidi w:val="0"/>
        <w:adjustRightInd/>
        <w:snapToGrid/>
        <w:jc w:val="both"/>
        <w:textAlignment w:val="auto"/>
      </w:pPr>
      <w:r>
        <w:t>（四）做好绩效自评。按要求开展上年度部门预算绩效自评和重点评价工作，对评价中发现的问题及时整改，调整优化支出结构，提高财政资金使用效益。</w:t>
      </w:r>
    </w:p>
    <w:p>
      <w:pPr>
        <w:pStyle w:val="25"/>
        <w:keepNext w:val="0"/>
        <w:keepLines w:val="0"/>
        <w:pageBreakBefore w:val="0"/>
        <w:widowControl/>
        <w:kinsoku/>
        <w:wordWrap/>
        <w:overflowPunct/>
        <w:topLinePunct w:val="0"/>
        <w:autoSpaceDE/>
        <w:autoSpaceDN/>
        <w:bidi w:val="0"/>
        <w:adjustRightInd/>
        <w:snapToGrid/>
        <w:jc w:val="both"/>
        <w:textAlignment w:val="auto"/>
      </w:pPr>
      <w:r>
        <w:t>（五）规范财务资产管理。完善财务管理制度，严格审批程序，加强固定资产登记、使用和报废处置管理，做到支出合理，物尽其用。</w:t>
      </w:r>
    </w:p>
    <w:p>
      <w:pPr>
        <w:pStyle w:val="25"/>
        <w:keepNext w:val="0"/>
        <w:keepLines w:val="0"/>
        <w:pageBreakBefore w:val="0"/>
        <w:widowControl/>
        <w:kinsoku/>
        <w:wordWrap/>
        <w:overflowPunct/>
        <w:topLinePunct w:val="0"/>
        <w:autoSpaceDE/>
        <w:autoSpaceDN/>
        <w:bidi w:val="0"/>
        <w:adjustRightInd/>
        <w:snapToGrid/>
        <w:jc w:val="both"/>
        <w:textAlignment w:val="auto"/>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keepNext w:val="0"/>
        <w:keepLines w:val="0"/>
        <w:pageBreakBefore w:val="0"/>
        <w:widowControl/>
        <w:kinsoku/>
        <w:wordWrap/>
        <w:overflowPunct/>
        <w:topLinePunct w:val="0"/>
        <w:autoSpaceDE/>
        <w:autoSpaceDN/>
        <w:bidi w:val="0"/>
        <w:adjustRightInd/>
        <w:snapToGrid/>
        <w:jc w:val="both"/>
        <w:textAlignment w:val="auto"/>
      </w:pPr>
      <w:r>
        <w:t>（七）加强宣传培训调研等。加强人员培训，提高本部门职工业务素质；加强调研，提出优化财政资金配置、提高资金使用效益的意见建议；加大宣传力度，强化预算绩效管理意识，促进预算绩效管理水平进一步提升。</w:t>
      </w:r>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预算项目绩效目标</w:t>
      </w:r>
    </w:p>
    <w:p>
      <w:pPr>
        <w:keepNext w:val="0"/>
        <w:keepLines w:val="0"/>
        <w:pageBreakBefore w:val="0"/>
        <w:widowControl/>
        <w:kinsoku/>
        <w:wordWrap/>
        <w:overflowPunct/>
        <w:topLinePunct w:val="0"/>
        <w:autoSpaceDE/>
        <w:autoSpaceDN/>
        <w:bidi w:val="0"/>
        <w:adjustRightInd/>
        <w:snapToGrid/>
        <w:spacing w:before="0" w:after="0"/>
        <w:ind w:firstLine="560"/>
        <w:jc w:val="both"/>
        <w:textAlignment w:val="auto"/>
        <w:outlineLvl w:val="9"/>
      </w:pPr>
      <w:r>
        <w:rPr>
          <w:rFonts w:ascii="方正仿宋_GBK" w:hAnsi="方正仿宋_GBK" w:eastAsia="方正仿宋_GBK" w:cs="方正仿宋_GBK"/>
          <w:b/>
          <w:color w:val="000000"/>
          <w:sz w:val="28"/>
        </w:rPr>
        <w:t>1、“两违”拆除经费绩效目标表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绩效目标</w:t>
            </w:r>
          </w:p>
        </w:tc>
        <w:tc>
          <w:tcPr>
            <w:tcW w:w="12756" w:type="dxa"/>
            <w:tcBorders>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1.将“两违”、私搭乱建面积4300平方米拆除清理，并恢复原貌。</w:t>
            </w:r>
          </w:p>
          <w:p>
            <w:pPr>
              <w:pStyle w:val="14"/>
              <w:keepNext w:val="0"/>
              <w:keepLines w:val="0"/>
              <w:pageBreakBefore w:val="0"/>
              <w:widowControl/>
              <w:kinsoku/>
              <w:wordWrap/>
              <w:overflowPunct/>
              <w:topLinePunct w:val="0"/>
              <w:autoSpaceDE/>
              <w:autoSpaceDN/>
              <w:bidi w:val="0"/>
              <w:adjustRightInd/>
              <w:snapToGrid/>
              <w:jc w:val="both"/>
              <w:textAlignment w:val="auto"/>
            </w:pPr>
            <w:r>
              <w:t>2.按照要求及时完成资金支付，将进一步加快“两违”、私搭乱建拆除工作，为广大群众创造良好的生活环境。</w:t>
            </w:r>
          </w:p>
        </w:tc>
      </w:tr>
    </w:tbl>
    <w:p>
      <w:pPr>
        <w:keepNext w:val="0"/>
        <w:keepLines w:val="0"/>
        <w:pageBreakBefore w:val="0"/>
        <w:widowControl/>
        <w:kinsoku/>
        <w:wordWrap/>
        <w:overflowPunct/>
        <w:topLinePunct w:val="0"/>
        <w:autoSpaceDE/>
        <w:autoSpaceDN/>
        <w:bidi w:val="0"/>
        <w:adjustRightInd/>
        <w:snapToGrid/>
        <w:spacing w:before="0" w:after="0" w:line="2" w:lineRule="exact"/>
        <w:ind w:firstLine="0"/>
        <w:jc w:val="both"/>
        <w:textAlignment w:val="auto"/>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两违拆除面积的工程量</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两违拆除面积的平方米数</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≥4300平方米</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工程验收合格率(％)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验收合格的工程数量占工程总数量的比率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项目完成时间</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项目完成时间</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≤6月份</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两违拆除资金的成本控制</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两违拆除资金的成本控制</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≤29.26万元</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村容村貌提升情况</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通过拆除两违、私搭乱建所带来的村容村貌的提升情况</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有效提升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可持续影响指标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对村民生活环境质量的改善情况</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项目完工后对村民生活环境的改善情况</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有效改善</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周边村民满意度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通过问卷调查，满意和较满意的周边村民占全部调研周边村民的比率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≥90%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问卷调查</w:t>
            </w: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ind w:firstLine="560"/>
        <w:jc w:val="both"/>
        <w:textAlignment w:val="auto"/>
        <w:outlineLvl w:val="9"/>
      </w:pPr>
      <w:r>
        <w:rPr>
          <w:rFonts w:ascii="方正仿宋_GBK" w:hAnsi="方正仿宋_GBK" w:eastAsia="方正仿宋_GBK" w:cs="方正仿宋_GBK"/>
          <w:b/>
          <w:color w:val="000000"/>
          <w:sz w:val="28"/>
        </w:rPr>
        <w:t>2、关于提前下达2022年省级“三馆一站”免费开放补助资金的通知（冀财教[2021]155号）绩效目标表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绩效目标</w:t>
            </w:r>
          </w:p>
        </w:tc>
        <w:tc>
          <w:tcPr>
            <w:tcW w:w="12756" w:type="dxa"/>
            <w:tcBorders>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1.全年开展4次文化活动，提高村民的素质倡导科学、健康、文明的生活方式。</w:t>
            </w:r>
            <w:r>
              <w:tab/>
            </w:r>
            <w:r>
              <w:tab/>
            </w:r>
            <w:r>
              <w:tab/>
            </w:r>
            <w:r>
              <w:tab/>
            </w:r>
            <w:r>
              <w:tab/>
            </w:r>
            <w:r>
              <w:tab/>
            </w:r>
          </w:p>
          <w:p>
            <w:pPr>
              <w:pStyle w:val="14"/>
              <w:keepNext w:val="0"/>
              <w:keepLines w:val="0"/>
              <w:pageBreakBefore w:val="0"/>
              <w:widowControl/>
              <w:kinsoku/>
              <w:wordWrap/>
              <w:overflowPunct/>
              <w:topLinePunct w:val="0"/>
              <w:autoSpaceDE/>
              <w:autoSpaceDN/>
              <w:bidi w:val="0"/>
              <w:adjustRightInd/>
              <w:snapToGrid/>
              <w:jc w:val="both"/>
              <w:textAlignment w:val="auto"/>
            </w:pPr>
          </w:p>
        </w:tc>
      </w:tr>
    </w:tbl>
    <w:p>
      <w:pPr>
        <w:keepNext w:val="0"/>
        <w:keepLines w:val="0"/>
        <w:pageBreakBefore w:val="0"/>
        <w:widowControl/>
        <w:kinsoku/>
        <w:wordWrap/>
        <w:overflowPunct/>
        <w:topLinePunct w:val="0"/>
        <w:autoSpaceDE/>
        <w:autoSpaceDN/>
        <w:bidi w:val="0"/>
        <w:adjustRightInd/>
        <w:snapToGrid/>
        <w:spacing w:before="0" w:after="0" w:line="2" w:lineRule="exact"/>
        <w:ind w:firstLine="0"/>
        <w:jc w:val="both"/>
        <w:textAlignment w:val="auto"/>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开展文化活动的次数</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文化站全年开展文化活动的次数</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4次</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举办文化活动较上年增长率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本年度举办文化活动的次数跟上年度比较增长率</w:t>
            </w:r>
          </w:p>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完成率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按照计划完成的演出活动在应完成演出活动中的比例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资金成本</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文化站补助不超预算数</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≤0.5万元</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基层文化站免费开放工作对基层文化需求和公共服务水平的提升情况</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通过基层文化站免费开放工作对基层文化需求和公共服务水平的提升效果</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有效提升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群众满意度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群众对文化开展满意部分满意数量占调查人数的比例。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≥90%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问卷调查</w:t>
            </w: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ind w:firstLine="560"/>
        <w:jc w:val="both"/>
        <w:textAlignment w:val="auto"/>
        <w:outlineLvl w:val="9"/>
      </w:pPr>
      <w:r>
        <w:rPr>
          <w:rFonts w:ascii="方正仿宋_GBK" w:hAnsi="方正仿宋_GBK" w:eastAsia="方正仿宋_GBK" w:cs="方正仿宋_GBK"/>
          <w:b/>
          <w:color w:val="000000"/>
          <w:sz w:val="28"/>
        </w:rPr>
        <w:t>3、关于提前下达2022年中央补助地方美术馆 公共图书馆 文化馆（站）免费开放补助资金预算的通知（冀财教[2021]141号）绩效目标表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绩效目标</w:t>
            </w:r>
          </w:p>
        </w:tc>
        <w:tc>
          <w:tcPr>
            <w:tcW w:w="12756" w:type="dxa"/>
            <w:tcBorders>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1.全年开展4次文化活动，提高村民的素质倡导科学、健康、文明的生活方式。</w:t>
            </w:r>
          </w:p>
        </w:tc>
      </w:tr>
    </w:tbl>
    <w:p>
      <w:pPr>
        <w:keepNext w:val="0"/>
        <w:keepLines w:val="0"/>
        <w:pageBreakBefore w:val="0"/>
        <w:widowControl/>
        <w:kinsoku/>
        <w:wordWrap/>
        <w:overflowPunct/>
        <w:topLinePunct w:val="0"/>
        <w:autoSpaceDE/>
        <w:autoSpaceDN/>
        <w:bidi w:val="0"/>
        <w:adjustRightInd/>
        <w:snapToGrid/>
        <w:spacing w:before="0" w:after="0" w:line="2" w:lineRule="exact"/>
        <w:ind w:firstLine="0"/>
        <w:jc w:val="both"/>
        <w:textAlignment w:val="auto"/>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开展文化活动的次数</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文化站全年开展文化活动的次数</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4次</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举办文化活动较上年增长率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本年度举办文化活动的次数跟上年度比较增长率</w:t>
            </w:r>
          </w:p>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完成率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按照计划完成的演出活动在应完成演出活动中的比例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资金成本</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文化站补助不超预算数</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≤3万元</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基层文化站免费开放工作对基层文化需求和公共服务水平的提升情况</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通过基层文化站免费开放工作对基层文化需求和公共服务水平的提升效果</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有效提升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群众满意度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群众对文化开展满意部分满意数量占调查人数的比例。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≥90%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问卷调查</w:t>
            </w: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ind w:firstLine="560"/>
        <w:jc w:val="both"/>
        <w:textAlignment w:val="auto"/>
        <w:outlineLvl w:val="9"/>
      </w:pPr>
      <w:r>
        <w:rPr>
          <w:rFonts w:ascii="方正仿宋_GBK" w:hAnsi="方正仿宋_GBK" w:eastAsia="方正仿宋_GBK" w:cs="方正仿宋_GBK"/>
          <w:b/>
          <w:color w:val="000000"/>
          <w:sz w:val="28"/>
        </w:rPr>
        <w:t>4、关于提前下达2023年村党组织活动经费的通知(冀财预[2022]86号)绩效目标表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绩效目标</w:t>
            </w:r>
          </w:p>
        </w:tc>
        <w:tc>
          <w:tcPr>
            <w:tcW w:w="12756" w:type="dxa"/>
            <w:tcBorders>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1.通过拨付村级党组织活动经费，加强对党员培训的支持力度，使老党员、新党员体会到党的关怀，并促进他们发挥党员的积极作用。</w:t>
            </w:r>
          </w:p>
          <w:p>
            <w:pPr>
              <w:pStyle w:val="14"/>
              <w:keepNext w:val="0"/>
              <w:keepLines w:val="0"/>
              <w:pageBreakBefore w:val="0"/>
              <w:widowControl/>
              <w:kinsoku/>
              <w:wordWrap/>
              <w:overflowPunct/>
              <w:topLinePunct w:val="0"/>
              <w:autoSpaceDE/>
              <w:autoSpaceDN/>
              <w:bidi w:val="0"/>
              <w:adjustRightInd/>
              <w:snapToGrid/>
              <w:jc w:val="both"/>
              <w:textAlignment w:val="auto"/>
            </w:pPr>
          </w:p>
        </w:tc>
      </w:tr>
    </w:tbl>
    <w:p>
      <w:pPr>
        <w:keepNext w:val="0"/>
        <w:keepLines w:val="0"/>
        <w:pageBreakBefore w:val="0"/>
        <w:widowControl/>
        <w:kinsoku/>
        <w:wordWrap/>
        <w:overflowPunct/>
        <w:topLinePunct w:val="0"/>
        <w:autoSpaceDE/>
        <w:autoSpaceDN/>
        <w:bidi w:val="0"/>
        <w:adjustRightInd/>
        <w:snapToGrid/>
        <w:spacing w:before="0" w:after="0" w:line="2" w:lineRule="exact"/>
        <w:ind w:firstLine="0"/>
        <w:jc w:val="both"/>
        <w:textAlignment w:val="auto"/>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党组织活动经费到位及时性</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实际补助村民委员会和村党支部的补助资金及时到位率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项目总成本</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乡拨付给各村街党组织活动经费的总金额</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20.86万元</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补贴村街个数</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村组织活动经费补贴到村街的个数</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20个</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拨付资金标准符合中国霸州市委组织部印发的《村级党组织活动经费使用和管理办法》的有关规定</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拨付资金标准符合中国霸州市委组织部印发的《村级党组织活动经费使用和管理办法》的有关规定</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符合</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提高村街党组织服务群众的能力</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显著提升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受益村街满意度(%)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通过问卷调查，满意和较满意的村街占全部调研村街的比例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≥90%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问卷调查</w:t>
            </w: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ind w:firstLine="560"/>
        <w:jc w:val="both"/>
        <w:textAlignment w:val="auto"/>
        <w:outlineLvl w:val="9"/>
      </w:pPr>
      <w:r>
        <w:rPr>
          <w:rFonts w:ascii="方正仿宋_GBK" w:hAnsi="方正仿宋_GBK" w:eastAsia="方正仿宋_GBK" w:cs="方正仿宋_GBK"/>
          <w:b/>
          <w:color w:val="000000"/>
          <w:sz w:val="28"/>
        </w:rPr>
        <w:t>5、关于提前下达2023年村级办公经费的通知(冀财预[2022]86号)绩效目标表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绩效目标</w:t>
            </w:r>
          </w:p>
        </w:tc>
        <w:tc>
          <w:tcPr>
            <w:tcW w:w="12756" w:type="dxa"/>
            <w:tcBorders>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1.保障村级组织正常运转，保障办公费用充足，推动农村基层党组织全面进步</w:t>
            </w:r>
          </w:p>
          <w:p>
            <w:pPr>
              <w:pStyle w:val="14"/>
              <w:keepNext w:val="0"/>
              <w:keepLines w:val="0"/>
              <w:pageBreakBefore w:val="0"/>
              <w:widowControl/>
              <w:kinsoku/>
              <w:wordWrap/>
              <w:overflowPunct/>
              <w:topLinePunct w:val="0"/>
              <w:autoSpaceDE/>
              <w:autoSpaceDN/>
              <w:bidi w:val="0"/>
              <w:adjustRightInd/>
              <w:snapToGrid/>
              <w:jc w:val="both"/>
              <w:textAlignment w:val="auto"/>
            </w:pPr>
            <w:r>
              <w:t>"</w:t>
            </w:r>
            <w:r>
              <w:tab/>
            </w:r>
            <w:r>
              <w:tab/>
            </w:r>
            <w:r>
              <w:tab/>
            </w:r>
            <w:r>
              <w:tab/>
            </w:r>
            <w:r>
              <w:tab/>
            </w:r>
          </w:p>
        </w:tc>
      </w:tr>
    </w:tbl>
    <w:p>
      <w:pPr>
        <w:keepNext w:val="0"/>
        <w:keepLines w:val="0"/>
        <w:pageBreakBefore w:val="0"/>
        <w:widowControl/>
        <w:kinsoku/>
        <w:wordWrap/>
        <w:overflowPunct/>
        <w:topLinePunct w:val="0"/>
        <w:autoSpaceDE/>
        <w:autoSpaceDN/>
        <w:bidi w:val="0"/>
        <w:adjustRightInd/>
        <w:snapToGrid/>
        <w:spacing w:before="0" w:after="0" w:line="2" w:lineRule="exact"/>
        <w:ind w:firstLine="0"/>
        <w:jc w:val="both"/>
        <w:textAlignment w:val="auto"/>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补助村街数量（个）</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当年村级办公费补助村街数量</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20个</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村民委员会和村党支部的补助资金</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已补助村民委员会和村党支部的补助资金占计划补助金额的比率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资金及时拨付率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每季度将资金及时拨付各村街</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补贴每村村级办公经费金额</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补贴每村村级办公经费金额</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2万元</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社会服务能力提升情况</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补助所带来的</w:t>
            </w:r>
            <w:r>
              <w:rPr>
                <w:rFonts w:hint="eastAsia"/>
                <w:lang w:eastAsia="zh-CN"/>
              </w:rPr>
              <w:t>部门</w:t>
            </w:r>
            <w:r>
              <w:t>服务社会能力提升情况</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显著提升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通过问卷调查，满意和较满意的村街占全部调研村街的比例</w:t>
            </w:r>
          </w:p>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≥90%</w:t>
            </w:r>
          </w:p>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问卷调查</w:t>
            </w: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ind w:firstLine="560"/>
        <w:jc w:val="both"/>
        <w:textAlignment w:val="auto"/>
        <w:outlineLvl w:val="9"/>
      </w:pPr>
      <w:r>
        <w:rPr>
          <w:rFonts w:ascii="方正仿宋_GBK" w:hAnsi="方正仿宋_GBK" w:eastAsia="方正仿宋_GBK" w:cs="方正仿宋_GBK"/>
          <w:b/>
          <w:color w:val="000000"/>
          <w:sz w:val="28"/>
        </w:rPr>
        <w:t>6、关于提前下达2023年村级党组织服务群众专项经费的通知绩效目标表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绩效目标</w:t>
            </w:r>
          </w:p>
        </w:tc>
        <w:tc>
          <w:tcPr>
            <w:tcW w:w="12756" w:type="dxa"/>
            <w:tcBorders>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1.保障村级组织更好的服务群众。</w:t>
            </w:r>
          </w:p>
        </w:tc>
      </w:tr>
    </w:tbl>
    <w:p>
      <w:pPr>
        <w:keepNext w:val="0"/>
        <w:keepLines w:val="0"/>
        <w:pageBreakBefore w:val="0"/>
        <w:widowControl/>
        <w:kinsoku/>
        <w:wordWrap/>
        <w:overflowPunct/>
        <w:topLinePunct w:val="0"/>
        <w:autoSpaceDE/>
        <w:autoSpaceDN/>
        <w:bidi w:val="0"/>
        <w:adjustRightInd/>
        <w:snapToGrid/>
        <w:spacing w:before="0" w:after="0" w:line="2" w:lineRule="exact"/>
        <w:ind w:firstLine="0"/>
        <w:jc w:val="both"/>
        <w:textAlignment w:val="auto"/>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补助村街数量</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村级组织服务群众专项经费补助村街数量</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20个</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村民委员会和村党支部的补助资金到位率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已补助村民委员会和村党支部的补助资金占计划补助金额的比率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村级组织服务群众经费保障标准</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按每村2万元分配</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2万元</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资金及时拨付率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各乡镇每季度将资金及时拨付各村街</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社会服务能力提升情况</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补助所带来的</w:t>
            </w:r>
            <w:r>
              <w:rPr>
                <w:rFonts w:hint="eastAsia"/>
                <w:lang w:eastAsia="zh-CN"/>
              </w:rPr>
              <w:t>部门</w:t>
            </w:r>
            <w:r>
              <w:t>服务社会能力提升情况</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显著提升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通过问卷调查，满意和较满意的村街占全部调研村街的比例</w:t>
            </w:r>
          </w:p>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问卷调查</w:t>
            </w: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ind w:firstLine="560"/>
        <w:jc w:val="both"/>
        <w:textAlignment w:val="auto"/>
        <w:outlineLvl w:val="9"/>
      </w:pPr>
      <w:r>
        <w:rPr>
          <w:rFonts w:ascii="方正仿宋_GBK" w:hAnsi="方正仿宋_GBK" w:eastAsia="方正仿宋_GBK" w:cs="方正仿宋_GBK"/>
          <w:b/>
          <w:color w:val="000000"/>
          <w:sz w:val="28"/>
        </w:rPr>
        <w:t>7、关于提前下达2023年省级“三馆一站”免费开放补助资金的通知（冀财教[2022]174号）绩效目标表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绩效目标</w:t>
            </w:r>
          </w:p>
        </w:tc>
        <w:tc>
          <w:tcPr>
            <w:tcW w:w="12756" w:type="dxa"/>
            <w:tcBorders>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1.全年开展4次文化活动，提高村民的素质倡导科学、健康、文明的生活方式。</w:t>
            </w:r>
            <w:r>
              <w:tab/>
            </w:r>
            <w:r>
              <w:tab/>
            </w:r>
            <w:r>
              <w:tab/>
            </w:r>
          </w:p>
          <w:p>
            <w:pPr>
              <w:pStyle w:val="14"/>
              <w:keepNext w:val="0"/>
              <w:keepLines w:val="0"/>
              <w:pageBreakBefore w:val="0"/>
              <w:widowControl/>
              <w:kinsoku/>
              <w:wordWrap/>
              <w:overflowPunct/>
              <w:topLinePunct w:val="0"/>
              <w:autoSpaceDE/>
              <w:autoSpaceDN/>
              <w:bidi w:val="0"/>
              <w:adjustRightInd/>
              <w:snapToGrid/>
              <w:jc w:val="both"/>
              <w:textAlignment w:val="auto"/>
            </w:pPr>
          </w:p>
        </w:tc>
      </w:tr>
    </w:tbl>
    <w:p>
      <w:pPr>
        <w:keepNext w:val="0"/>
        <w:keepLines w:val="0"/>
        <w:pageBreakBefore w:val="0"/>
        <w:widowControl/>
        <w:kinsoku/>
        <w:wordWrap/>
        <w:overflowPunct/>
        <w:topLinePunct w:val="0"/>
        <w:autoSpaceDE/>
        <w:autoSpaceDN/>
        <w:bidi w:val="0"/>
        <w:adjustRightInd/>
        <w:snapToGrid/>
        <w:spacing w:before="0" w:after="0" w:line="2" w:lineRule="exact"/>
        <w:ind w:firstLine="0"/>
        <w:jc w:val="both"/>
        <w:textAlignment w:val="auto"/>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开展文化活动的次数</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文化站全年开展文化活动的次数</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4次</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举办文化活动较上年增长率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本年度举办文化活动的次数跟上年度比较增长率</w:t>
            </w:r>
          </w:p>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完成率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按照计划完成的演出活动在应完成演出活动中的比例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资金成本</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文化站补助不超预算数</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≤0.5万元</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基层文化站免费开放工作对基层文化需求和公共服务水平的提升情况</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通过基层文化站免费开放工作对基层文化需求和公共服务水平的提升效果</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有效提升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群众满意度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群众对文化开展满意部分满意数量占调查人数的比例。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≥90%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问卷调查</w:t>
            </w: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ind w:firstLine="560"/>
        <w:jc w:val="both"/>
        <w:textAlignment w:val="auto"/>
        <w:outlineLvl w:val="9"/>
      </w:pPr>
      <w:r>
        <w:rPr>
          <w:rFonts w:ascii="方正仿宋_GBK" w:hAnsi="方正仿宋_GBK" w:eastAsia="方正仿宋_GBK" w:cs="方正仿宋_GBK"/>
          <w:b/>
          <w:color w:val="000000"/>
          <w:sz w:val="28"/>
        </w:rPr>
        <w:t>8、关于提前下达2023年中央补助地方美术馆 公共图书馆 文化馆(站)免费开放补助资金预算的通知（冀财教[2022]144号）绩效目标表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绩效目标</w:t>
            </w:r>
          </w:p>
        </w:tc>
        <w:tc>
          <w:tcPr>
            <w:tcW w:w="12756" w:type="dxa"/>
            <w:tcBorders>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1.全年开展4次文化活动，提高村民的素质倡导科学、健康、文明的生活方式。</w:t>
            </w:r>
          </w:p>
        </w:tc>
      </w:tr>
    </w:tbl>
    <w:p>
      <w:pPr>
        <w:keepNext w:val="0"/>
        <w:keepLines w:val="0"/>
        <w:pageBreakBefore w:val="0"/>
        <w:widowControl/>
        <w:kinsoku/>
        <w:wordWrap/>
        <w:overflowPunct/>
        <w:topLinePunct w:val="0"/>
        <w:autoSpaceDE/>
        <w:autoSpaceDN/>
        <w:bidi w:val="0"/>
        <w:adjustRightInd/>
        <w:snapToGrid/>
        <w:spacing w:before="0" w:after="0" w:line="2" w:lineRule="exact"/>
        <w:ind w:firstLine="0"/>
        <w:jc w:val="both"/>
        <w:textAlignment w:val="auto"/>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开展文化活动的次数</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文化站全年开展文化活动的次数</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4次</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举办文化活动较上年增长率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本年度举办文化活动的次数跟上年度比较增长率</w:t>
            </w:r>
          </w:p>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完成率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按照计划完成的演出活动在应完成演出活动中的比例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资金成本</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文化站补助不超预算数</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≤3万元</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基层文化站免费开放工作对基层文化需求和公共服务水平的提升情况</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通过基层文化站免费开放工作对基层文化需求和公共服务水平的提升效果</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有效提升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群众满意度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群众对文化开展满意部分满意数量占调查人数的比例。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≥90%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问卷调查</w:t>
            </w: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ind w:firstLine="560"/>
        <w:jc w:val="both"/>
        <w:textAlignment w:val="auto"/>
        <w:outlineLvl w:val="9"/>
      </w:pPr>
      <w:r>
        <w:rPr>
          <w:rFonts w:ascii="方正仿宋_GBK" w:hAnsi="方正仿宋_GBK" w:eastAsia="方正仿宋_GBK" w:cs="方正仿宋_GBK"/>
          <w:b/>
          <w:color w:val="000000"/>
          <w:sz w:val="28"/>
        </w:rPr>
        <w:t>9、河道综合整治资金绩效目标表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绩效目标</w:t>
            </w:r>
          </w:p>
        </w:tc>
        <w:tc>
          <w:tcPr>
            <w:tcW w:w="12756" w:type="dxa"/>
            <w:tcBorders>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1.对我乡域内战备路贾庄子村东干渠进行清淤工作，从而极大提升战备路贾庄子村东干渠蓄水能力，改善河道周边环境，进而改善村民的生活居住环境。</w:t>
            </w:r>
            <w:r>
              <w:tab/>
            </w:r>
            <w:r>
              <w:tab/>
            </w:r>
            <w:r>
              <w:tab/>
            </w:r>
            <w:r>
              <w:tab/>
            </w:r>
            <w:r>
              <w:tab/>
            </w:r>
            <w:r>
              <w:tab/>
            </w:r>
          </w:p>
          <w:p>
            <w:pPr>
              <w:pStyle w:val="14"/>
              <w:keepNext w:val="0"/>
              <w:keepLines w:val="0"/>
              <w:pageBreakBefore w:val="0"/>
              <w:widowControl/>
              <w:kinsoku/>
              <w:wordWrap/>
              <w:overflowPunct/>
              <w:topLinePunct w:val="0"/>
              <w:autoSpaceDE/>
              <w:autoSpaceDN/>
              <w:bidi w:val="0"/>
              <w:adjustRightInd/>
              <w:snapToGrid/>
              <w:jc w:val="both"/>
              <w:textAlignment w:val="auto"/>
            </w:pPr>
          </w:p>
        </w:tc>
      </w:tr>
    </w:tbl>
    <w:p>
      <w:pPr>
        <w:keepNext w:val="0"/>
        <w:keepLines w:val="0"/>
        <w:pageBreakBefore w:val="0"/>
        <w:widowControl/>
        <w:kinsoku/>
        <w:wordWrap/>
        <w:overflowPunct/>
        <w:topLinePunct w:val="0"/>
        <w:autoSpaceDE/>
        <w:autoSpaceDN/>
        <w:bidi w:val="0"/>
        <w:adjustRightInd/>
        <w:snapToGrid/>
        <w:spacing w:before="0" w:after="0" w:line="2" w:lineRule="exact"/>
        <w:ind w:firstLine="0"/>
        <w:jc w:val="both"/>
        <w:textAlignment w:val="auto"/>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河道综合治理工程量（立方米）</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河道综合治理工程量</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≥10000m3</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河道清理长度（公里）</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河道清理长度</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≥3km</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治理工作验收合格率（%）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通过验收的治理工程量占治理工程总量的比率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河道综合治理工程及时完成率（%）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河道综合治理工程及时完成率（%）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河道综合治理每立方成本</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河道综合治理每立方成本</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29.34元/m3</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河道综合治理工程成本控制</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河道综合治理工程成本</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≤23.7万元</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河道蓄水能力改善情况</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河道蓄水能力较清淤之前比较情况</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有效改善</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生态效益指标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河道水质指标数值情况</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河道水质指标监测数值与国家标准比较情况</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五类水质</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可持续影响指标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河道水质监测排名情况</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河道水质监测排名相较同期排名上升情况</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≥1名</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群众满意度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通过问卷调查，满意和较满意的受益</w:t>
            </w:r>
            <w:r>
              <w:rPr>
                <w:rFonts w:hint="eastAsia"/>
                <w:lang w:eastAsia="zh-CN"/>
              </w:rPr>
              <w:t>部门</w:t>
            </w:r>
            <w:r>
              <w:t>、群众占全部调研群体的比率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≥90%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问卷调查</w:t>
            </w: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ind w:firstLine="560"/>
        <w:jc w:val="both"/>
        <w:textAlignment w:val="auto"/>
        <w:outlineLvl w:val="9"/>
      </w:pPr>
      <w:r>
        <w:rPr>
          <w:rFonts w:ascii="方正仿宋_GBK" w:hAnsi="方正仿宋_GBK" w:eastAsia="方正仿宋_GBK" w:cs="方正仿宋_GBK"/>
          <w:b/>
          <w:color w:val="000000"/>
          <w:sz w:val="28"/>
        </w:rPr>
        <w:t>10、提前下达2023年文化站免费开放县级配套资金绩效目标表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绩效目标</w:t>
            </w:r>
          </w:p>
        </w:tc>
        <w:tc>
          <w:tcPr>
            <w:tcW w:w="12756" w:type="dxa"/>
            <w:tcBorders>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1.全年开展4次文化活动，提高村民的素质倡导科学、健康、文明的生活方式。</w:t>
            </w:r>
            <w:r>
              <w:tab/>
            </w:r>
            <w:r>
              <w:tab/>
            </w:r>
            <w:r>
              <w:tab/>
            </w:r>
            <w:r>
              <w:tab/>
            </w:r>
            <w:r>
              <w:tab/>
            </w:r>
            <w:r>
              <w:tab/>
            </w:r>
          </w:p>
          <w:p>
            <w:pPr>
              <w:pStyle w:val="14"/>
              <w:keepNext w:val="0"/>
              <w:keepLines w:val="0"/>
              <w:pageBreakBefore w:val="0"/>
              <w:widowControl/>
              <w:kinsoku/>
              <w:wordWrap/>
              <w:overflowPunct/>
              <w:topLinePunct w:val="0"/>
              <w:autoSpaceDE/>
              <w:autoSpaceDN/>
              <w:bidi w:val="0"/>
              <w:adjustRightInd/>
              <w:snapToGrid/>
              <w:jc w:val="both"/>
              <w:textAlignment w:val="auto"/>
            </w:pPr>
          </w:p>
        </w:tc>
      </w:tr>
    </w:tbl>
    <w:p>
      <w:pPr>
        <w:keepNext w:val="0"/>
        <w:keepLines w:val="0"/>
        <w:pageBreakBefore w:val="0"/>
        <w:widowControl/>
        <w:kinsoku/>
        <w:wordWrap/>
        <w:overflowPunct/>
        <w:topLinePunct w:val="0"/>
        <w:autoSpaceDE/>
        <w:autoSpaceDN/>
        <w:bidi w:val="0"/>
        <w:adjustRightInd/>
        <w:snapToGrid/>
        <w:spacing w:before="0" w:after="0" w:line="2" w:lineRule="exact"/>
        <w:ind w:firstLine="0"/>
        <w:jc w:val="both"/>
        <w:textAlignment w:val="auto"/>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开展文化活动的次数</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文化站全年开展文化活动的次数</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4次</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举办文化活动较上年增长率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本年度举办文化活动的次数跟上年度比较增长率</w:t>
            </w:r>
          </w:p>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≥30%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完成率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按照计划完成的演出活动在应完成演出活动中的比例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资金成本</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文化站补助不超预算数</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≤1.5万元</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基层文化站免费开放工作对基层文化需求和公共服务水平的提升情况</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通过基层文化站免费开放工作对基层文化需求和公共服务水平的提升效果</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有效提升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群众满意度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群众对文化开展满意部分满意数量占调查人数的比例。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≥90%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问卷调查</w:t>
            </w: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ind w:firstLine="560"/>
        <w:jc w:val="both"/>
        <w:textAlignment w:val="auto"/>
        <w:outlineLvl w:val="9"/>
      </w:pPr>
      <w:r>
        <w:rPr>
          <w:rFonts w:ascii="方正仿宋_GBK" w:hAnsi="方正仿宋_GBK" w:eastAsia="方正仿宋_GBK" w:cs="方正仿宋_GBK"/>
          <w:b/>
          <w:color w:val="000000"/>
          <w:sz w:val="28"/>
        </w:rPr>
        <w:t>11、提前下达东杨庄乡孙家坊村道路硬化及配套排水项目资金（冀财预[2022]85号）绩效目标表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绩效目标</w:t>
            </w:r>
          </w:p>
        </w:tc>
        <w:tc>
          <w:tcPr>
            <w:tcW w:w="12756" w:type="dxa"/>
            <w:tcBorders>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1.2023年对我乡孙家坊村项目区修建4450平方米道路，道路长度890米，道路宽5米，道路厚度为18公分，并新建排水管道项目，铺钢带增强聚乙烯d500螺旋波纹管890米，铺钢带增强聚乙烯d300螺旋波纹管50米，砖砌雨水检查井25座，雨水口25座。通过完成此工程，进而推进全乡农村人居环境发展，助力乡村振兴，改善革命老区生产生活条件，提高农民群众幸福感、获得感。</w:t>
            </w:r>
          </w:p>
        </w:tc>
      </w:tr>
    </w:tbl>
    <w:p>
      <w:pPr>
        <w:keepNext w:val="0"/>
        <w:keepLines w:val="0"/>
        <w:pageBreakBefore w:val="0"/>
        <w:widowControl/>
        <w:kinsoku/>
        <w:wordWrap/>
        <w:overflowPunct/>
        <w:topLinePunct w:val="0"/>
        <w:autoSpaceDE/>
        <w:autoSpaceDN/>
        <w:bidi w:val="0"/>
        <w:adjustRightInd/>
        <w:snapToGrid/>
        <w:spacing w:before="0" w:after="0" w:line="2" w:lineRule="exact"/>
        <w:ind w:firstLine="0"/>
        <w:jc w:val="both"/>
        <w:textAlignment w:val="auto"/>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新建水泥道路面积</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新建水泥道路面积</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≥4869㎡</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砖砌雨水检查井数量</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砖砌雨水检查井数量</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25座</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雨水口数量</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雨水口数量</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25座</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排水管长度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铺钢带增强聚乙烯d500螺旋波纹管长度</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890米</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工程验收合格率（%）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通过验收的工程量占建设、改造、修缮总量的比率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项目按期完成情况</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项目按计划进度完成情况</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≤9月</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可研金额</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最终结算金额不得高于可研金额</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≤138.07万元</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可持续影响指标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项目完工后持续使用年限</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项目完工后可持续使用的年限</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≥10年</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受益群体满意度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调查受益群众中满意人数的占比</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≥95%</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调查问卷</w:t>
            </w: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ind w:firstLine="560"/>
        <w:jc w:val="both"/>
        <w:textAlignment w:val="auto"/>
        <w:outlineLvl w:val="9"/>
      </w:pPr>
      <w:r>
        <w:rPr>
          <w:rFonts w:ascii="方正仿宋_GBK" w:hAnsi="方正仿宋_GBK" w:eastAsia="方正仿宋_GBK" w:cs="方正仿宋_GBK"/>
          <w:b/>
          <w:color w:val="000000"/>
          <w:sz w:val="28"/>
        </w:rPr>
        <w:t>12、提前下达东杨庄乡中段村道路硬化及配套排水项目资金（冀财预[2022]85号）绩效目标表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绩效目标</w:t>
            </w:r>
          </w:p>
        </w:tc>
        <w:tc>
          <w:tcPr>
            <w:tcW w:w="12756" w:type="dxa"/>
            <w:tcBorders>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1.2023年修建5250平方米道路，其中友谊路长765米，路面宽6米，永设路长165米，路面宽4米，道路厚度为18公分，并新建排水管道项目，铺钢带增强聚乙烯d500螺旋波纹管765米，铺钢带增强聚乙烯d300螺旋波纹管60米，钢带增强聚乙烯螺旋波纹管 d500顶管20米，砖砌雨水检查井20座，雨水口20座，混凝土出水口1处。通过完成此工程，进而推进全乡农村人居环境发展，助力乡村振兴，改善革命老区生产生活条件，提高农民群众幸福感、获得感。</w:t>
            </w:r>
          </w:p>
        </w:tc>
      </w:tr>
    </w:tbl>
    <w:p>
      <w:pPr>
        <w:keepNext w:val="0"/>
        <w:keepLines w:val="0"/>
        <w:pageBreakBefore w:val="0"/>
        <w:widowControl/>
        <w:kinsoku/>
        <w:wordWrap/>
        <w:overflowPunct/>
        <w:topLinePunct w:val="0"/>
        <w:autoSpaceDE/>
        <w:autoSpaceDN/>
        <w:bidi w:val="0"/>
        <w:adjustRightInd/>
        <w:snapToGrid/>
        <w:spacing w:before="0" w:after="0" w:line="2" w:lineRule="exact"/>
        <w:ind w:firstLine="0"/>
        <w:jc w:val="both"/>
        <w:textAlignment w:val="auto"/>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新建水泥道路面积</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新建水泥道路面积</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≥5250㎡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砖砌雨水检查井数量</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砖砌雨水检查井数量</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20座</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雨水口数量</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雨水口数量</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20座</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混凝土出水口数量</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混凝土出水口数量</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1处</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排水管长度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排水管长度</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845米</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工程验收合格率（%）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通过验收的工程量占建设、改造、修缮总量的比率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项目按期完成情况</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项目按计划进度完成情况</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≤9月</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可研金额</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最终结算金额不得高于可研金额</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≤147.18万元</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可持续影响指标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项目完工后持续使用年限</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项目完工后可持续使用的年限</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≥10年</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行业标准</w:t>
            </w:r>
          </w:p>
          <w:p>
            <w:pPr>
              <w:pStyle w:val="14"/>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受益群体满意度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调查受益群众中满意人数的占比</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≥95%</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调卷问查</w:t>
            </w: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ind w:firstLine="560"/>
        <w:jc w:val="both"/>
        <w:textAlignment w:val="auto"/>
        <w:outlineLvl w:val="9"/>
      </w:pPr>
      <w:r>
        <w:rPr>
          <w:rFonts w:ascii="方正仿宋_GBK" w:hAnsi="方正仿宋_GBK" w:eastAsia="方正仿宋_GBK" w:cs="方正仿宋_GBK"/>
          <w:b/>
          <w:color w:val="000000"/>
          <w:sz w:val="28"/>
        </w:rPr>
        <w:t>13、提前下达机关办公楼修缮工程资金绩效目标表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绩效目标</w:t>
            </w:r>
          </w:p>
        </w:tc>
        <w:tc>
          <w:tcPr>
            <w:tcW w:w="12756" w:type="dxa"/>
            <w:tcBorders>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1.对东杨庄乡政府院内地面进行增高硬化，改造排水</w:t>
            </w:r>
          </w:p>
          <w:p>
            <w:pPr>
              <w:pStyle w:val="14"/>
              <w:keepNext w:val="0"/>
              <w:keepLines w:val="0"/>
              <w:pageBreakBefore w:val="0"/>
              <w:widowControl/>
              <w:kinsoku/>
              <w:wordWrap/>
              <w:overflowPunct/>
              <w:topLinePunct w:val="0"/>
              <w:autoSpaceDE/>
              <w:autoSpaceDN/>
              <w:bidi w:val="0"/>
              <w:adjustRightInd/>
              <w:snapToGrid/>
              <w:jc w:val="both"/>
              <w:textAlignment w:val="auto"/>
            </w:pPr>
            <w:r>
              <w:t>2.对东杨庄乡政府后院平房及会议室进行升级改造，消除安全隐患</w:t>
            </w:r>
          </w:p>
        </w:tc>
      </w:tr>
    </w:tbl>
    <w:p>
      <w:pPr>
        <w:keepNext w:val="0"/>
        <w:keepLines w:val="0"/>
        <w:pageBreakBefore w:val="0"/>
        <w:widowControl/>
        <w:kinsoku/>
        <w:wordWrap/>
        <w:overflowPunct/>
        <w:topLinePunct w:val="0"/>
        <w:autoSpaceDE/>
        <w:autoSpaceDN/>
        <w:bidi w:val="0"/>
        <w:adjustRightInd/>
        <w:snapToGrid/>
        <w:spacing w:before="0" w:after="0" w:line="2" w:lineRule="exact"/>
        <w:ind w:firstLine="0"/>
        <w:jc w:val="both"/>
        <w:textAlignment w:val="auto"/>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增高硬化院内水泥路面积</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增高硬化院内水泥路面积</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1518m2</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改造升级会议室数量</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改造升级会议室数量</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1个</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维修维护平房面积</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维修维护平房面积</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295m2</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工程验收合格率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工程验收合格率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完工及时率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完工及时率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资金成本</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资金成本</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10万元</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公共服务水平提升情况</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项目实施对公共服务水平提升情况</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有效提升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通过问卷调查，满意和较满意的对</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通过问卷调查，满意和较满意的对象占所有调查对象的比例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≥90%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问卷调查</w:t>
            </w: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ind w:firstLine="560"/>
        <w:jc w:val="both"/>
        <w:textAlignment w:val="auto"/>
        <w:outlineLvl w:val="9"/>
      </w:pPr>
      <w:r>
        <w:rPr>
          <w:rFonts w:ascii="方正仿宋_GBK" w:hAnsi="方正仿宋_GBK" w:eastAsia="方正仿宋_GBK" w:cs="方正仿宋_GBK"/>
          <w:b/>
          <w:color w:val="000000"/>
          <w:sz w:val="28"/>
        </w:rPr>
        <w:t>14、土地补偿资金绩效目标表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绩效目标</w:t>
            </w:r>
          </w:p>
        </w:tc>
        <w:tc>
          <w:tcPr>
            <w:tcW w:w="12756" w:type="dxa"/>
            <w:tcBorders>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1."通过对东杨庄村和陈庄伙村进行土地补偿金的发放，极大改善两村村民的上访情况，减缓的信访压力，维持了社会安定。</w:t>
            </w:r>
          </w:p>
          <w:p>
            <w:pPr>
              <w:pStyle w:val="14"/>
              <w:keepNext w:val="0"/>
              <w:keepLines w:val="0"/>
              <w:pageBreakBefore w:val="0"/>
              <w:widowControl/>
              <w:kinsoku/>
              <w:wordWrap/>
              <w:overflowPunct/>
              <w:topLinePunct w:val="0"/>
              <w:autoSpaceDE/>
              <w:autoSpaceDN/>
              <w:bidi w:val="0"/>
              <w:adjustRightInd/>
              <w:snapToGrid/>
              <w:jc w:val="both"/>
              <w:textAlignment w:val="auto"/>
            </w:pPr>
            <w:r>
              <w:t>"</w:t>
            </w:r>
            <w:r>
              <w:tab/>
            </w:r>
            <w:r>
              <w:tab/>
            </w:r>
            <w:r>
              <w:tab/>
            </w:r>
            <w:r>
              <w:tab/>
            </w:r>
            <w:r>
              <w:tab/>
            </w:r>
            <w:r>
              <w:tab/>
            </w:r>
          </w:p>
          <w:p>
            <w:pPr>
              <w:pStyle w:val="14"/>
              <w:keepNext w:val="0"/>
              <w:keepLines w:val="0"/>
              <w:pageBreakBefore w:val="0"/>
              <w:widowControl/>
              <w:kinsoku/>
              <w:wordWrap/>
              <w:overflowPunct/>
              <w:topLinePunct w:val="0"/>
              <w:autoSpaceDE/>
              <w:autoSpaceDN/>
              <w:bidi w:val="0"/>
              <w:adjustRightInd/>
              <w:snapToGrid/>
              <w:jc w:val="both"/>
              <w:textAlignment w:val="auto"/>
            </w:pPr>
          </w:p>
        </w:tc>
      </w:tr>
    </w:tbl>
    <w:p>
      <w:pPr>
        <w:keepNext w:val="0"/>
        <w:keepLines w:val="0"/>
        <w:pageBreakBefore w:val="0"/>
        <w:widowControl/>
        <w:kinsoku/>
        <w:wordWrap/>
        <w:overflowPunct/>
        <w:topLinePunct w:val="0"/>
        <w:autoSpaceDE/>
        <w:autoSpaceDN/>
        <w:bidi w:val="0"/>
        <w:adjustRightInd/>
        <w:snapToGrid/>
        <w:spacing w:before="0" w:after="0" w:line="2" w:lineRule="exact"/>
        <w:ind w:firstLine="0"/>
        <w:jc w:val="both"/>
        <w:textAlignment w:val="auto"/>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补助村街数量</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补偿金补助村街数量</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2个</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补偿金标准准确率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实际发放的补偿金标准占计划发放补偿金标准的比率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补偿金发放时间</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补偿金发放到村街的时限</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≤6月份</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补偿金发放额度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补偿金额度</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8万元/村</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化解矛盾率(%)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信访案件化解矛盾的数量占信访案件数的比率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≥90%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上访次数（次）</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上访次数</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&lt;1次</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可持续影响指标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维护乡镇社会稳定</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信访突出问题和群体性事件改善情况</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有效维稳</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补助村街群众满意度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通过问卷调查，满意和较满意的补助村街群众占全部调研群体的比率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≥90%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问卷调查</w:t>
            </w: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ind w:firstLine="560"/>
        <w:jc w:val="both"/>
        <w:textAlignment w:val="auto"/>
        <w:outlineLvl w:val="9"/>
      </w:pPr>
      <w:r>
        <w:rPr>
          <w:rFonts w:ascii="方正仿宋_GBK" w:hAnsi="方正仿宋_GBK" w:eastAsia="方正仿宋_GBK" w:cs="方正仿宋_GBK"/>
          <w:b/>
          <w:color w:val="000000"/>
          <w:sz w:val="28"/>
        </w:rPr>
        <w:t>15、慰问经费绩效目标表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绩效目标</w:t>
            </w:r>
          </w:p>
        </w:tc>
        <w:tc>
          <w:tcPr>
            <w:tcW w:w="12756" w:type="dxa"/>
            <w:tcBorders>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为体现我党对生活困难老党员的关心关爱，让他们感受到党和政府的深情关怀和浓浓温暖，我乡计划对辖区内75位老党员每人200元的标准进行慰问，鼓励老党员们建立起对今后生活的信心，预计10月底之前支出完毕。</w:t>
            </w:r>
            <w:r>
              <w:tab/>
            </w:r>
            <w:r>
              <w:tab/>
            </w:r>
            <w:r>
              <w:tab/>
            </w:r>
            <w:r>
              <w:tab/>
            </w:r>
            <w:r>
              <w:tab/>
            </w:r>
            <w:r>
              <w:tab/>
            </w:r>
            <w:r>
              <w:tab/>
            </w:r>
            <w:r>
              <w:tab/>
            </w:r>
          </w:p>
          <w:p>
            <w:pPr>
              <w:pStyle w:val="14"/>
              <w:keepNext w:val="0"/>
              <w:keepLines w:val="0"/>
              <w:pageBreakBefore w:val="0"/>
              <w:widowControl/>
              <w:kinsoku/>
              <w:wordWrap/>
              <w:overflowPunct/>
              <w:topLinePunct w:val="0"/>
              <w:autoSpaceDE/>
              <w:autoSpaceDN/>
              <w:bidi w:val="0"/>
              <w:adjustRightInd/>
              <w:snapToGrid/>
              <w:jc w:val="both"/>
              <w:textAlignment w:val="auto"/>
            </w:pPr>
          </w:p>
        </w:tc>
      </w:tr>
    </w:tbl>
    <w:p>
      <w:pPr>
        <w:keepNext w:val="0"/>
        <w:keepLines w:val="0"/>
        <w:pageBreakBefore w:val="0"/>
        <w:widowControl/>
        <w:kinsoku/>
        <w:wordWrap/>
        <w:overflowPunct/>
        <w:topLinePunct w:val="0"/>
        <w:autoSpaceDE/>
        <w:autoSpaceDN/>
        <w:bidi w:val="0"/>
        <w:adjustRightInd/>
        <w:snapToGrid/>
        <w:spacing w:before="0" w:after="0" w:line="2" w:lineRule="exact"/>
        <w:ind w:firstLine="0"/>
        <w:jc w:val="both"/>
        <w:textAlignment w:val="auto"/>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慰问补助老党员人数</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慰问补助老党员人数</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≥75个</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补助金发放率(%)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实际发放的补助金金额占计划发放金额的比率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慰问经费春节发放时限</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2023年1月下旬慰问经费发放完毕</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2月份</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慰问经费七一发放时限</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2023年7月底之前慰问经费发放完毕</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7月份</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慰问补助每人标准</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慰问补助每人标准</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200元/人</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补助老党员生活改善情况，体现党的关怀</w:t>
            </w:r>
          </w:p>
          <w:p>
            <w:pPr>
              <w:pStyle w:val="14"/>
              <w:keepNext w:val="0"/>
              <w:keepLines w:val="0"/>
              <w:pageBreakBefore w:val="0"/>
              <w:widowControl/>
              <w:kinsoku/>
              <w:wordWrap/>
              <w:overflowPunct/>
              <w:topLinePunct w:val="0"/>
              <w:autoSpaceDE/>
              <w:autoSpaceDN/>
              <w:bidi w:val="0"/>
              <w:adjustRightInd/>
              <w:snapToGrid/>
              <w:jc w:val="both"/>
              <w:textAlignment w:val="auto"/>
            </w:pP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补助老党员生活改善情况，体现党的关怀</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人文关怀</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慰问老党员、老干部象满意度(%)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通过问卷调查，满意和较满意的慰问老党员、老干部象满意度(%)对象占全部调研对象的比例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≥90%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问卷调查</w:t>
            </w: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ind w:firstLine="560"/>
        <w:jc w:val="both"/>
        <w:textAlignment w:val="auto"/>
        <w:outlineLvl w:val="9"/>
      </w:pPr>
      <w:r>
        <w:rPr>
          <w:rFonts w:ascii="方正仿宋_GBK" w:hAnsi="方正仿宋_GBK" w:eastAsia="方正仿宋_GBK" w:cs="方正仿宋_GBK"/>
          <w:b/>
          <w:color w:val="000000"/>
          <w:sz w:val="28"/>
        </w:rPr>
        <w:t>16、信访维稳工作经费绩效目标表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绩效目标</w:t>
            </w:r>
          </w:p>
        </w:tc>
        <w:tc>
          <w:tcPr>
            <w:tcW w:w="12756" w:type="dxa"/>
            <w:tcBorders>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1.通过定期开展维稳执勤工作，减少进京上访事件发生，维护社会秩序稳定和谐。</w:t>
            </w:r>
          </w:p>
        </w:tc>
      </w:tr>
    </w:tbl>
    <w:p>
      <w:pPr>
        <w:keepNext w:val="0"/>
        <w:keepLines w:val="0"/>
        <w:pageBreakBefore w:val="0"/>
        <w:widowControl/>
        <w:kinsoku/>
        <w:wordWrap/>
        <w:overflowPunct/>
        <w:topLinePunct w:val="0"/>
        <w:autoSpaceDE/>
        <w:autoSpaceDN/>
        <w:bidi w:val="0"/>
        <w:adjustRightInd/>
        <w:snapToGrid/>
        <w:spacing w:before="0" w:after="0" w:line="2" w:lineRule="exact"/>
        <w:ind w:firstLine="0"/>
        <w:jc w:val="both"/>
        <w:textAlignment w:val="auto"/>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化解上访人数的比率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化解上访人数占应化解上访人数的比率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重大安保任务完成率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完成的安保任务占总任务总数的比率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化解成功率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完成的信访案化解成功比率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补助金全部发放到位时间</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补助金全部发放到位时间</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10月份</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不确定因素补助成本</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不确定因素补助成本</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19.36万元</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驻京值守差旅费成本</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驻京值守差旅费成本</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8万元</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涉稳舆情处置率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处置的涉稳舆情数占涉稳舆情总数的比率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集体上访次数（次）</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实际集体上访次数</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&lt;1次</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维稳村街群众满意度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通过问卷调查，满意和较满意的群众占全部调研群体的比率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≥95%</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问卷调查</w:t>
            </w: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ind w:firstLine="560"/>
        <w:jc w:val="both"/>
        <w:textAlignment w:val="auto"/>
        <w:outlineLvl w:val="9"/>
      </w:pPr>
      <w:r>
        <w:rPr>
          <w:rFonts w:ascii="方正仿宋_GBK" w:hAnsi="方正仿宋_GBK" w:eastAsia="方正仿宋_GBK" w:cs="方正仿宋_GBK"/>
          <w:b/>
          <w:color w:val="000000"/>
          <w:sz w:val="28"/>
        </w:rPr>
        <w:t>17、政务公开专区建设资金绩效目标表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绩效目标</w:t>
            </w:r>
          </w:p>
        </w:tc>
        <w:tc>
          <w:tcPr>
            <w:tcW w:w="12756" w:type="dxa"/>
            <w:tcBorders>
              <w:bottom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1.切实解决政务公开渠道分散、公开内容繁杂、群众获取不便等问题，提供更便捷、更集中、更优质的政务公开服务。</w:t>
            </w:r>
          </w:p>
        </w:tc>
      </w:tr>
    </w:tbl>
    <w:p>
      <w:pPr>
        <w:keepNext w:val="0"/>
        <w:keepLines w:val="0"/>
        <w:pageBreakBefore w:val="0"/>
        <w:widowControl/>
        <w:kinsoku/>
        <w:wordWrap/>
        <w:overflowPunct/>
        <w:topLinePunct w:val="0"/>
        <w:autoSpaceDE/>
        <w:autoSpaceDN/>
        <w:bidi w:val="0"/>
        <w:adjustRightInd/>
        <w:snapToGrid/>
        <w:spacing w:before="0" w:after="0" w:line="2" w:lineRule="exact"/>
        <w:ind w:firstLine="0"/>
        <w:jc w:val="both"/>
        <w:textAlignment w:val="auto"/>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一级指标</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二级指标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三级指标</w:t>
            </w:r>
          </w:p>
        </w:tc>
        <w:tc>
          <w:tcPr>
            <w:tcW w:w="2835"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绩效指标描述</w:t>
            </w:r>
          </w:p>
        </w:tc>
        <w:tc>
          <w:tcPr>
            <w:tcW w:w="255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w:t>
            </w:r>
          </w:p>
        </w:tc>
        <w:tc>
          <w:tcPr>
            <w:tcW w:w="2268"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产出指标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采购电子设备数量</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采购电子设备数量</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11台</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数量指标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建设政务公开专区数量</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建设政务公开专区数量</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1个</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质量指标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政务公开专区验收合格率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政务公开专区验收合格率</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100%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时效指标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政务公开专区建设完成时间</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政务公开专区建设完成时间</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≤5月份</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pP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成本指标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政务公开专区建设资金</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政务公开专区建设资金</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6万元</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效益指标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社会效益指标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政务公开服务提升情况</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政务公开服务提升情况</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有效提升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满意度指标</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服务对象满意度指标</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群众满意度(%)</w:t>
            </w:r>
          </w:p>
        </w:tc>
        <w:tc>
          <w:tcPr>
            <w:tcW w:w="2835"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通过问卷调查，满意和较满意的群众满意度(%)对象占全部调研对象的比例</w:t>
            </w:r>
          </w:p>
        </w:tc>
        <w:tc>
          <w:tcPr>
            <w:tcW w:w="255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≥90%</w:t>
            </w:r>
          </w:p>
        </w:tc>
        <w:tc>
          <w:tcPr>
            <w:tcW w:w="2268"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问卷调查</w:t>
            </w:r>
          </w:p>
        </w:tc>
      </w:tr>
    </w:tbl>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both"/>
        <w:textAlignment w:val="auto"/>
        <w:outlineLvl w:val="2"/>
        <w:rPr>
          <w:rFonts w:ascii="黑体" w:hAnsi="黑体" w:eastAsia="黑体" w:cs="黑体"/>
          <w:color w:val="000000"/>
          <w:sz w:val="32"/>
        </w:rPr>
      </w:pPr>
      <w:bookmarkStart w:id="14" w:name="_Toc_3_3_0000000015"/>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both"/>
        <w:textAlignment w:val="auto"/>
        <w:outlineLvl w:val="2"/>
      </w:pPr>
      <w:r>
        <w:rPr>
          <w:rFonts w:ascii="黑体" w:hAnsi="黑体" w:eastAsia="黑体" w:cs="黑体"/>
          <w:color w:val="000000"/>
          <w:sz w:val="32"/>
        </w:rPr>
        <w:t>六、政府采购预算情况</w:t>
      </w:r>
      <w:bookmarkEnd w:id="14"/>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2023年，霸州市东杨庄乡安排政府采购预算204.00万元。具体内容见下表。</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textAlignment w:val="auto"/>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keepNext w:val="0"/>
              <w:keepLines w:val="0"/>
              <w:pageBreakBefore w:val="0"/>
              <w:widowControl/>
              <w:kinsoku/>
              <w:wordWrap/>
              <w:overflowPunct/>
              <w:topLinePunct w:val="0"/>
              <w:autoSpaceDE/>
              <w:autoSpaceDN/>
              <w:bidi w:val="0"/>
              <w:adjustRightInd/>
              <w:snapToGrid/>
              <w:jc w:val="both"/>
              <w:textAlignment w:val="auto"/>
            </w:pPr>
            <w:r>
              <w:t>958霸州市东杨庄乡</w:t>
            </w:r>
          </w:p>
        </w:tc>
        <w:tc>
          <w:tcPr>
            <w:tcW w:w="8674" w:type="dxa"/>
            <w:gridSpan w:val="9"/>
            <w:tcBorders>
              <w:top w:val="single" w:color="FFFFFF" w:sz="6" w:space="0"/>
              <w:left w:val="single" w:color="FFFFFF" w:sz="6" w:space="0"/>
              <w:right w:val="single" w:color="FFFFFF" w:sz="6" w:space="0"/>
            </w:tcBorders>
            <w:vAlign w:val="center"/>
          </w:tcPr>
          <w:p>
            <w:pPr>
              <w:pStyle w:val="26"/>
              <w:keepNext w:val="0"/>
              <w:keepLines w:val="0"/>
              <w:pageBreakBefore w:val="0"/>
              <w:widowControl/>
              <w:kinsoku/>
              <w:wordWrap/>
              <w:overflowPunct/>
              <w:topLinePunct w:val="0"/>
              <w:autoSpaceDE/>
              <w:autoSpaceDN/>
              <w:bidi w:val="0"/>
              <w:adjustRightInd/>
              <w:snapToGrid/>
              <w:jc w:val="both"/>
              <w:textAlignment w:val="auto"/>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政府采购项目来源</w:t>
            </w:r>
          </w:p>
        </w:tc>
        <w:tc>
          <w:tcPr>
            <w:tcW w:w="1134"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采购物品名称</w:t>
            </w:r>
          </w:p>
        </w:tc>
        <w:tc>
          <w:tcPr>
            <w:tcW w:w="1134"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政府采购目录序号</w:t>
            </w:r>
          </w:p>
        </w:tc>
        <w:tc>
          <w:tcPr>
            <w:tcW w:w="709"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rPr>
                <w:rFonts w:hint="eastAsia" w:eastAsia="方正书宋_GBK"/>
                <w:lang w:eastAsia="zh-CN"/>
              </w:rPr>
            </w:pPr>
            <w:r>
              <w:t xml:space="preserve">计量  </w:t>
            </w:r>
            <w:r>
              <w:rPr>
                <w:rFonts w:hint="eastAsia"/>
                <w:lang w:eastAsia="zh-CN"/>
              </w:rPr>
              <w:t>部门</w:t>
            </w:r>
          </w:p>
        </w:tc>
        <w:tc>
          <w:tcPr>
            <w:tcW w:w="850"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数量</w:t>
            </w:r>
          </w:p>
        </w:tc>
        <w:tc>
          <w:tcPr>
            <w:tcW w:w="850"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单价</w:t>
            </w:r>
          </w:p>
        </w:tc>
        <w:tc>
          <w:tcPr>
            <w:tcW w:w="7710" w:type="dxa"/>
            <w:gridSpan w:val="8"/>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政府采购金额（当年部门预算安排资金）</w:t>
            </w:r>
          </w:p>
        </w:tc>
        <w:tc>
          <w:tcPr>
            <w:tcW w:w="964" w:type="dxa"/>
            <w:vMerge w:val="restar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项目名称</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预算    资金</w:t>
            </w:r>
          </w:p>
        </w:tc>
        <w:tc>
          <w:tcPr>
            <w:tcW w:w="1134"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1134"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709"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850"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850"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合计</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一般公共预算拨款</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基金预算拨款</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国有资本经营预算拨款</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财政专户核拨</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rPr>
                <w:rFonts w:hint="eastAsia"/>
                <w:lang w:eastAsia="zh-CN"/>
              </w:rPr>
              <w:t>部门</w:t>
            </w:r>
            <w:r>
              <w:t xml:space="preserve">    资金</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财政拨    款结转</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非财政    拨款结    转结余</w:t>
            </w:r>
          </w:p>
        </w:tc>
        <w:tc>
          <w:tcPr>
            <w:tcW w:w="964" w:type="dxa"/>
            <w:vMerge w:val="continue"/>
          </w:tcPr>
          <w:p>
            <w:pPr>
              <w:keepNext w:val="0"/>
              <w:keepLines w:val="0"/>
              <w:pageBreakBefore w:val="0"/>
              <w:widowControl/>
              <w:kinsoku/>
              <w:wordWrap/>
              <w:overflowPunct/>
              <w:topLinePunct w:val="0"/>
              <w:autoSpaceDE/>
              <w:autoSpaceDN/>
              <w:bidi w:val="0"/>
              <w:adjustRightInd/>
              <w:snapToGrid/>
              <w:jc w:val="both"/>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keepNext w:val="0"/>
              <w:keepLines w:val="0"/>
              <w:pageBreakBefore w:val="0"/>
              <w:widowControl/>
              <w:kinsoku/>
              <w:wordWrap/>
              <w:overflowPunct/>
              <w:topLinePunct w:val="0"/>
              <w:autoSpaceDE/>
              <w:autoSpaceDN/>
              <w:bidi w:val="0"/>
              <w:adjustRightInd/>
              <w:snapToGrid/>
              <w:jc w:val="both"/>
              <w:textAlignment w:val="auto"/>
            </w:pPr>
            <w:r>
              <w:t>合  计</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1134" w:type="dxa"/>
            <w:vAlign w:val="center"/>
          </w:tcPr>
          <w:p>
            <w:pPr>
              <w:pStyle w:val="18"/>
              <w:keepNext w:val="0"/>
              <w:keepLines w:val="0"/>
              <w:pageBreakBefore w:val="0"/>
              <w:widowControl/>
              <w:kinsoku/>
              <w:wordWrap/>
              <w:overflowPunct/>
              <w:topLinePunct w:val="0"/>
              <w:autoSpaceDE/>
              <w:autoSpaceDN/>
              <w:bidi w:val="0"/>
              <w:adjustRightInd/>
              <w:snapToGrid/>
              <w:jc w:val="both"/>
              <w:textAlignment w:val="auto"/>
            </w:pPr>
          </w:p>
        </w:tc>
        <w:tc>
          <w:tcPr>
            <w:tcW w:w="1134" w:type="dxa"/>
            <w:vAlign w:val="center"/>
          </w:tcPr>
          <w:p>
            <w:pPr>
              <w:pStyle w:val="18"/>
              <w:keepNext w:val="0"/>
              <w:keepLines w:val="0"/>
              <w:pageBreakBefore w:val="0"/>
              <w:widowControl/>
              <w:kinsoku/>
              <w:wordWrap/>
              <w:overflowPunct/>
              <w:topLinePunct w:val="0"/>
              <w:autoSpaceDE/>
              <w:autoSpaceDN/>
              <w:bidi w:val="0"/>
              <w:adjustRightInd/>
              <w:snapToGrid/>
              <w:jc w:val="both"/>
              <w:textAlignment w:val="auto"/>
            </w:pPr>
          </w:p>
        </w:tc>
        <w:tc>
          <w:tcPr>
            <w:tcW w:w="709" w:type="dxa"/>
            <w:vAlign w:val="center"/>
          </w:tcPr>
          <w:p>
            <w:pPr>
              <w:pStyle w:val="16"/>
              <w:keepNext w:val="0"/>
              <w:keepLines w:val="0"/>
              <w:pageBreakBefore w:val="0"/>
              <w:widowControl/>
              <w:kinsoku/>
              <w:wordWrap/>
              <w:overflowPunct/>
              <w:topLinePunct w:val="0"/>
              <w:autoSpaceDE/>
              <w:autoSpaceDN/>
              <w:bidi w:val="0"/>
              <w:adjustRightInd/>
              <w:snapToGrid/>
              <w:jc w:val="both"/>
              <w:textAlignment w:val="auto"/>
            </w:pPr>
          </w:p>
        </w:tc>
        <w:tc>
          <w:tcPr>
            <w:tcW w:w="85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85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204.00</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204.00</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204.00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keepNext w:val="0"/>
              <w:keepLines w:val="0"/>
              <w:pageBreakBefore w:val="0"/>
              <w:widowControl/>
              <w:kinsoku/>
              <w:wordWrap/>
              <w:overflowPunct/>
              <w:topLinePunct w:val="0"/>
              <w:autoSpaceDE/>
              <w:autoSpaceDN/>
              <w:bidi w:val="0"/>
              <w:adjustRightInd/>
              <w:snapToGrid/>
              <w:jc w:val="both"/>
              <w:textAlignment w:val="auto"/>
            </w:pPr>
            <w:r>
              <w:t>霸州市东杨庄乡人民政府本级小计</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1134" w:type="dxa"/>
            <w:vAlign w:val="center"/>
          </w:tcPr>
          <w:p>
            <w:pPr>
              <w:pStyle w:val="18"/>
              <w:keepNext w:val="0"/>
              <w:keepLines w:val="0"/>
              <w:pageBreakBefore w:val="0"/>
              <w:widowControl/>
              <w:kinsoku/>
              <w:wordWrap/>
              <w:overflowPunct/>
              <w:topLinePunct w:val="0"/>
              <w:autoSpaceDE/>
              <w:autoSpaceDN/>
              <w:bidi w:val="0"/>
              <w:adjustRightInd/>
              <w:snapToGrid/>
              <w:jc w:val="both"/>
              <w:textAlignment w:val="auto"/>
            </w:pPr>
          </w:p>
        </w:tc>
        <w:tc>
          <w:tcPr>
            <w:tcW w:w="1134" w:type="dxa"/>
            <w:vAlign w:val="center"/>
          </w:tcPr>
          <w:p>
            <w:pPr>
              <w:pStyle w:val="18"/>
              <w:keepNext w:val="0"/>
              <w:keepLines w:val="0"/>
              <w:pageBreakBefore w:val="0"/>
              <w:widowControl/>
              <w:kinsoku/>
              <w:wordWrap/>
              <w:overflowPunct/>
              <w:topLinePunct w:val="0"/>
              <w:autoSpaceDE/>
              <w:autoSpaceDN/>
              <w:bidi w:val="0"/>
              <w:adjustRightInd/>
              <w:snapToGrid/>
              <w:jc w:val="both"/>
              <w:textAlignment w:val="auto"/>
            </w:pPr>
          </w:p>
        </w:tc>
        <w:tc>
          <w:tcPr>
            <w:tcW w:w="709" w:type="dxa"/>
            <w:vAlign w:val="center"/>
          </w:tcPr>
          <w:p>
            <w:pPr>
              <w:pStyle w:val="16"/>
              <w:keepNext w:val="0"/>
              <w:keepLines w:val="0"/>
              <w:pageBreakBefore w:val="0"/>
              <w:widowControl/>
              <w:kinsoku/>
              <w:wordWrap/>
              <w:overflowPunct/>
              <w:topLinePunct w:val="0"/>
              <w:autoSpaceDE/>
              <w:autoSpaceDN/>
              <w:bidi w:val="0"/>
              <w:adjustRightInd/>
              <w:snapToGrid/>
              <w:jc w:val="both"/>
              <w:textAlignment w:val="auto"/>
            </w:pPr>
          </w:p>
        </w:tc>
        <w:tc>
          <w:tcPr>
            <w:tcW w:w="85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850"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204.00</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204.00</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7"/>
              <w:keepNext w:val="0"/>
              <w:keepLines w:val="0"/>
              <w:pageBreakBefore w:val="0"/>
              <w:widowControl/>
              <w:kinsoku/>
              <w:wordWrap/>
              <w:overflowPunct/>
              <w:topLinePunct w:val="0"/>
              <w:autoSpaceDE/>
              <w:autoSpaceDN/>
              <w:bidi w:val="0"/>
              <w:adjustRightInd/>
              <w:snapToGrid/>
              <w:jc w:val="both"/>
              <w:textAlignment w:val="auto"/>
            </w:pPr>
            <w:r>
              <w:t>204.00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关于提前下达2023年省级“三馆一站”免费开放补助资金的通知（冀财教[2022]174号）</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0.50</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群众文化活动服务</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C06030700</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0.50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0.50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0.50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关于提前下达2023年中央补助地方美术馆 公共图书馆 文化馆(站)免费开放补助资金预算的通知（冀财教[2022]144号）</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3.00</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群众文化活动服务</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C06030700</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提前下达2023年文化站免费开放县级配套资金</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1.50</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群众文化活动服务</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C06030700</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1.50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1.50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1.50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提前下达东杨庄乡孙家坊村道路硬化及配套排水项目资金（冀财预[2022]85号）</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92.00</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城市道路工程施工</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B02050000</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92.00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92.00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92.00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提前下达东杨庄乡中段村道路硬化及配套排水项目资金（冀财预[2022]85号）</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102.00</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城市道路工程施工</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B02050000</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102.00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102.00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102.00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政务公开专区建设资金</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台式计算机</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A02010105</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0.40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0.80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0.80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政务公开专区建设资金</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其他信息化设备</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A02019900</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0.60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0.60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0.60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政务公开专区建设资金</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A3 彩色打印机</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A02021002</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2</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2</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0.50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政务公开专区建设资金</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其他办公设备</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A02029900</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3</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0.20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0.60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0.60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政务公开专区建设资金</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其他视频设备</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A02091199</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政务公开专区建设资金</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6.00</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办公椅</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A05010301</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0.10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jc w:val="both"/>
              <w:textAlignment w:val="auto"/>
            </w:pPr>
            <w:r>
              <w:t>1.00</w:t>
            </w:r>
          </w:p>
        </w:tc>
      </w:tr>
    </w:tbl>
    <w:p>
      <w:pPr>
        <w:keepNext w:val="0"/>
        <w:keepLines w:val="0"/>
        <w:pageBreakBefore w:val="0"/>
        <w:widowControl/>
        <w:kinsoku/>
        <w:wordWrap/>
        <w:overflowPunct/>
        <w:topLinePunct w:val="0"/>
        <w:autoSpaceDE/>
        <w:autoSpaceDN/>
        <w:bidi w:val="0"/>
        <w:adjustRightInd/>
        <w:snapToGrid/>
        <w:spacing w:before="0" w:after="0" w:line="500" w:lineRule="exact"/>
        <w:ind w:firstLine="420"/>
        <w:jc w:val="both"/>
        <w:textAlignment w:val="auto"/>
        <w:outlineLvl w:val="9"/>
        <w:rPr>
          <w:rFonts w:ascii="黑体" w:hAnsi="黑体" w:eastAsia="黑体" w:cs="黑体"/>
          <w:color w:val="000000"/>
          <w:sz w:val="32"/>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bookmarkStart w:id="15" w:name="_Toc_3_3_0000000016"/>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both"/>
        <w:textAlignment w:val="auto"/>
        <w:outlineLvl w:val="2"/>
      </w:pPr>
      <w:r>
        <w:rPr>
          <w:rFonts w:ascii="黑体" w:hAnsi="黑体" w:eastAsia="黑体" w:cs="黑体"/>
          <w:color w:val="000000"/>
          <w:sz w:val="32"/>
        </w:rPr>
        <w:t>七、国有资产信息</w:t>
      </w:r>
      <w:bookmarkEnd w:id="15"/>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霸州市东杨庄乡（含所属</w:t>
      </w:r>
      <w:r>
        <w:rPr>
          <w:rFonts w:hint="eastAsia" w:eastAsia="方正仿宋_GBK" w:cs="Times New Roman"/>
          <w:b w:val="0"/>
          <w:color w:val="000000"/>
          <w:sz w:val="28"/>
          <w:lang w:eastAsia="zh-CN"/>
        </w:rPr>
        <w:t>部门</w:t>
      </w:r>
      <w:r>
        <w:rPr>
          <w:rFonts w:ascii="Times New Roman" w:hAnsi="Times New Roman" w:eastAsia="方正仿宋_GBK" w:cs="Times New Roman"/>
          <w:b w:val="0"/>
          <w:color w:val="000000"/>
          <w:sz w:val="28"/>
        </w:rPr>
        <w:t>）上年末固定资产金额为</w:t>
      </w:r>
      <w:r>
        <w:rPr>
          <w:rFonts w:hint="eastAsia" w:eastAsia="方正仿宋_GBK" w:cs="Times New Roman"/>
          <w:b w:val="0"/>
          <w:color w:val="000000"/>
          <w:sz w:val="28"/>
          <w:lang w:val="en-US" w:eastAsia="zh-CN"/>
        </w:rPr>
        <w:t>291.51</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textAlignment w:val="auto"/>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40"/>
        <w:gridCol w:w="4940"/>
        <w:gridCol w:w="49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tblHeader/>
          <w:jc w:val="center"/>
        </w:trPr>
        <w:tc>
          <w:tcPr>
            <w:tcW w:w="4940" w:type="dxa"/>
            <w:tcBorders>
              <w:top w:val="single" w:color="FFFFFF" w:sz="6" w:space="0"/>
              <w:left w:val="single" w:color="FFFFFF" w:sz="6" w:space="0"/>
              <w:right w:val="single" w:color="FFFFFF" w:sz="6" w:space="0"/>
            </w:tcBorders>
            <w:vAlign w:val="center"/>
          </w:tcPr>
          <w:p>
            <w:pPr>
              <w:pStyle w:val="11"/>
              <w:keepNext w:val="0"/>
              <w:keepLines w:val="0"/>
              <w:pageBreakBefore w:val="0"/>
              <w:widowControl/>
              <w:kinsoku/>
              <w:wordWrap/>
              <w:overflowPunct/>
              <w:topLinePunct w:val="0"/>
              <w:autoSpaceDE/>
              <w:autoSpaceDN/>
              <w:bidi w:val="0"/>
              <w:adjustRightInd/>
              <w:snapToGrid/>
              <w:jc w:val="both"/>
              <w:textAlignment w:val="auto"/>
            </w:pPr>
            <w:r>
              <w:t>958霸州市东杨庄乡</w:t>
            </w:r>
          </w:p>
        </w:tc>
        <w:tc>
          <w:tcPr>
            <w:tcW w:w="9880"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widowControl/>
              <w:kinsoku/>
              <w:wordWrap/>
              <w:overflowPunct/>
              <w:topLinePunct w:val="0"/>
              <w:autoSpaceDE/>
              <w:autoSpaceDN/>
              <w:bidi w:val="0"/>
              <w:adjustRightInd/>
              <w:snapToGrid/>
              <w:jc w:val="both"/>
              <w:textAlignment w:val="auto"/>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blHeader/>
          <w:jc w:val="center"/>
        </w:trPr>
        <w:tc>
          <w:tcPr>
            <w:tcW w:w="494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项   目</w:t>
            </w:r>
          </w:p>
        </w:tc>
        <w:tc>
          <w:tcPr>
            <w:tcW w:w="494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数量</w:t>
            </w:r>
          </w:p>
        </w:tc>
        <w:tc>
          <w:tcPr>
            <w:tcW w:w="4940" w:type="dxa"/>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价值（金额</w:t>
            </w: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4940" w:type="dxa"/>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eastAsia="宋体" w:cs="宋体"/>
                <w:sz w:val="22"/>
                <w:szCs w:val="24"/>
                <w:lang w:val="en-US" w:eastAsia="uk-UA" w:bidi="ar-SA"/>
              </w:rPr>
            </w:pPr>
            <w:r>
              <w:rPr>
                <w:rFonts w:hint="eastAsia" w:ascii="宋体" w:hAnsi="宋体" w:eastAsia="宋体" w:cs="宋体"/>
                <w:sz w:val="22"/>
              </w:rPr>
              <w:t>资产总额</w:t>
            </w:r>
          </w:p>
        </w:tc>
        <w:tc>
          <w:tcPr>
            <w:tcW w:w="4940" w:type="dxa"/>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宋体" w:hAnsi="宋体" w:eastAsia="宋体" w:cs="宋体"/>
                <w:sz w:val="22"/>
                <w:szCs w:val="24"/>
                <w:lang w:val="en-US" w:eastAsia="zh-CN" w:bidi="ar-SA"/>
              </w:rPr>
            </w:pPr>
            <w:r>
              <w:rPr>
                <w:rFonts w:hint="eastAsia" w:ascii="宋体" w:hAnsi="宋体" w:eastAsia="宋体" w:cs="宋体"/>
                <w:sz w:val="22"/>
                <w:lang w:eastAsia="zh-CN"/>
              </w:rPr>
              <w:t>——</w:t>
            </w:r>
          </w:p>
        </w:tc>
        <w:tc>
          <w:tcPr>
            <w:tcW w:w="4940" w:type="dxa"/>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宋体" w:hAnsi="宋体" w:eastAsia="宋体" w:cs="宋体"/>
                <w:sz w:val="22"/>
                <w:szCs w:val="24"/>
                <w:lang w:val="en-US" w:eastAsia="zh-CN" w:bidi="ar-SA"/>
              </w:rPr>
            </w:pPr>
            <w:r>
              <w:rPr>
                <w:rFonts w:hint="eastAsia" w:ascii="宋体" w:hAnsi="宋体" w:eastAsia="宋体" w:cs="宋体"/>
                <w:sz w:val="22"/>
                <w:lang w:val="en-US" w:eastAsia="zh-CN"/>
              </w:rPr>
              <w:t>291.51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4940" w:type="dxa"/>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eastAsia="宋体" w:cs="宋体"/>
                <w:sz w:val="22"/>
                <w:szCs w:val="24"/>
                <w:lang w:val="en-US" w:eastAsia="uk-UA" w:bidi="ar-SA"/>
              </w:rPr>
            </w:pPr>
            <w:r>
              <w:rPr>
                <w:rFonts w:hint="eastAsia" w:ascii="宋体" w:hAnsi="宋体" w:eastAsia="宋体" w:cs="宋体"/>
                <w:sz w:val="22"/>
              </w:rPr>
              <w:t>1、房屋（平方米）</w:t>
            </w:r>
          </w:p>
        </w:tc>
        <w:tc>
          <w:tcPr>
            <w:tcW w:w="4940" w:type="dxa"/>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宋体" w:hAnsi="宋体" w:eastAsia="宋体" w:cs="宋体"/>
                <w:sz w:val="22"/>
                <w:szCs w:val="24"/>
                <w:lang w:val="en-US" w:eastAsia="zh-CN" w:bidi="ar-SA"/>
              </w:rPr>
            </w:pPr>
            <w:r>
              <w:rPr>
                <w:rFonts w:hint="eastAsia" w:ascii="宋体" w:hAnsi="宋体" w:eastAsia="宋体" w:cs="宋体"/>
                <w:sz w:val="22"/>
                <w:lang w:val="en-US" w:eastAsia="zh-CN"/>
              </w:rPr>
              <w:t>4191</w:t>
            </w:r>
          </w:p>
        </w:tc>
        <w:tc>
          <w:tcPr>
            <w:tcW w:w="4940" w:type="dxa"/>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宋体" w:hAnsi="宋体" w:eastAsia="宋体" w:cs="宋体"/>
                <w:sz w:val="22"/>
                <w:szCs w:val="24"/>
                <w:lang w:val="en-US" w:eastAsia="zh-CN" w:bidi="ar-SA"/>
              </w:rPr>
            </w:pPr>
            <w:r>
              <w:rPr>
                <w:rFonts w:hint="eastAsia" w:ascii="宋体" w:hAnsi="宋体" w:eastAsia="宋体" w:cs="宋体"/>
                <w:sz w:val="22"/>
                <w:lang w:val="en-US" w:eastAsia="zh-CN"/>
              </w:rPr>
              <w:t>140.65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4940" w:type="dxa"/>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eastAsia="宋体" w:cs="宋体"/>
                <w:sz w:val="22"/>
                <w:szCs w:val="24"/>
                <w:lang w:val="en-US" w:eastAsia="uk-UA" w:bidi="ar-SA"/>
              </w:rPr>
            </w:pPr>
            <w:r>
              <w:rPr>
                <w:rFonts w:hint="eastAsia" w:ascii="宋体" w:hAnsi="宋体" w:eastAsia="宋体" w:cs="宋体"/>
                <w:sz w:val="22"/>
              </w:rPr>
              <w:t xml:space="preserve">   其中：办公用房（平方米）</w:t>
            </w:r>
          </w:p>
        </w:tc>
        <w:tc>
          <w:tcPr>
            <w:tcW w:w="4940" w:type="dxa"/>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eastAsia="宋体" w:cs="宋体"/>
                <w:sz w:val="22"/>
                <w:szCs w:val="24"/>
                <w:lang w:val="en-US" w:eastAsia="uk-UA" w:bidi="ar-SA"/>
              </w:rPr>
            </w:pPr>
            <w:r>
              <w:rPr>
                <w:rFonts w:hint="eastAsia" w:ascii="宋体" w:hAnsi="宋体" w:eastAsia="宋体" w:cs="宋体"/>
                <w:sz w:val="22"/>
                <w:lang w:eastAsia="zh-CN"/>
              </w:rPr>
              <w:t>3500</w:t>
            </w:r>
          </w:p>
        </w:tc>
        <w:tc>
          <w:tcPr>
            <w:tcW w:w="4940" w:type="dxa"/>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eastAsia="宋体" w:cs="宋体"/>
                <w:sz w:val="22"/>
                <w:szCs w:val="24"/>
                <w:lang w:val="en-US" w:eastAsia="uk-UA" w:bidi="ar-SA"/>
              </w:rPr>
            </w:pPr>
            <w:r>
              <w:rPr>
                <w:rFonts w:hint="eastAsia" w:ascii="宋体" w:hAnsi="宋体" w:eastAsia="宋体" w:cs="宋体"/>
                <w:sz w:val="22"/>
                <w:lang w:eastAsia="zh-CN"/>
              </w:rPr>
              <w:t>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4940" w:type="dxa"/>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eastAsia="宋体" w:cs="Arial"/>
                <w:color w:val="000000"/>
                <w:sz w:val="22"/>
                <w:szCs w:val="22"/>
                <w:lang w:val="en-US" w:eastAsia="zh-CN" w:bidi="ar-SA"/>
              </w:rPr>
            </w:pPr>
            <w:r>
              <w:rPr>
                <w:rFonts w:hint="eastAsia" w:cs="Arial"/>
                <w:color w:val="000000"/>
                <w:sz w:val="22"/>
                <w:szCs w:val="22"/>
              </w:rPr>
              <w:t xml:space="preserve">                </w:t>
            </w:r>
            <w:r>
              <w:rPr>
                <w:rFonts w:hint="eastAsia" w:cs="Arial" w:eastAsiaTheme="minorEastAsia"/>
                <w:color w:val="000000"/>
                <w:sz w:val="22"/>
                <w:szCs w:val="22"/>
                <w:lang w:eastAsia="zh-CN"/>
              </w:rPr>
              <w:t xml:space="preserve">  </w:t>
            </w:r>
            <w:r>
              <w:rPr>
                <w:rFonts w:hint="eastAsia" w:ascii="宋体" w:hAnsi="宋体" w:eastAsia="宋体" w:cs="宋体"/>
                <w:color w:val="000000"/>
                <w:sz w:val="22"/>
                <w:szCs w:val="22"/>
              </w:rPr>
              <w:t>业务用房</w:t>
            </w:r>
          </w:p>
        </w:tc>
        <w:tc>
          <w:tcPr>
            <w:tcW w:w="4940" w:type="dxa"/>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eastAsia="宋体" w:cs="宋体"/>
                <w:sz w:val="22"/>
                <w:szCs w:val="24"/>
                <w:lang w:val="en-US" w:eastAsia="zh-CN" w:bidi="ar-SA"/>
              </w:rPr>
            </w:pPr>
            <w:r>
              <w:rPr>
                <w:rFonts w:hint="eastAsia" w:ascii="宋体" w:hAnsi="宋体" w:eastAsia="宋体" w:cs="宋体"/>
                <w:sz w:val="22"/>
                <w:lang w:eastAsia="zh-CN"/>
              </w:rPr>
              <w:t>6</w:t>
            </w:r>
            <w:r>
              <w:rPr>
                <w:rFonts w:ascii="宋体" w:hAnsi="宋体" w:eastAsia="宋体" w:cs="宋体"/>
                <w:sz w:val="22"/>
                <w:lang w:eastAsia="zh-CN"/>
              </w:rPr>
              <w:t>91</w:t>
            </w:r>
          </w:p>
        </w:tc>
        <w:tc>
          <w:tcPr>
            <w:tcW w:w="4940" w:type="dxa"/>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eastAsia="宋体" w:cs="宋体"/>
                <w:sz w:val="22"/>
                <w:szCs w:val="24"/>
                <w:lang w:val="en-US" w:eastAsia="zh-CN" w:bidi="ar-SA"/>
              </w:rPr>
            </w:pPr>
            <w:r>
              <w:rPr>
                <w:rFonts w:hint="eastAsia" w:ascii="宋体" w:hAnsi="宋体" w:eastAsia="宋体" w:cs="宋体"/>
                <w:sz w:val="22"/>
                <w:lang w:eastAsia="zh-CN"/>
              </w:rPr>
              <w:t>103.65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4940" w:type="dxa"/>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eastAsia="宋体" w:cs="宋体"/>
                <w:sz w:val="22"/>
                <w:szCs w:val="24"/>
                <w:lang w:val="en-US" w:eastAsia="uk-UA" w:bidi="ar-SA"/>
              </w:rPr>
            </w:pPr>
            <w:r>
              <w:rPr>
                <w:rFonts w:hint="eastAsia" w:ascii="宋体" w:hAnsi="宋体" w:eastAsia="宋体" w:cs="宋体"/>
                <w:sz w:val="22"/>
              </w:rPr>
              <w:t>2、车辆（台、辆）</w:t>
            </w:r>
          </w:p>
        </w:tc>
        <w:tc>
          <w:tcPr>
            <w:tcW w:w="4940" w:type="dxa"/>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eastAsia="宋体" w:cs="宋体"/>
                <w:sz w:val="22"/>
                <w:szCs w:val="24"/>
                <w:lang w:val="en-US" w:eastAsia="uk-UA" w:bidi="ar-SA"/>
              </w:rPr>
            </w:pPr>
            <w:r>
              <w:rPr>
                <w:rFonts w:hint="eastAsia" w:ascii="宋体" w:hAnsi="宋体" w:eastAsia="宋体" w:cs="宋体"/>
                <w:sz w:val="22"/>
                <w:lang w:eastAsia="zh-CN"/>
              </w:rPr>
              <w:t>7</w:t>
            </w:r>
          </w:p>
        </w:tc>
        <w:tc>
          <w:tcPr>
            <w:tcW w:w="4940" w:type="dxa"/>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eastAsia="宋体" w:cs="宋体"/>
                <w:sz w:val="22"/>
                <w:szCs w:val="24"/>
                <w:lang w:val="en-US" w:eastAsia="uk-UA" w:bidi="ar-SA"/>
              </w:rPr>
            </w:pPr>
            <w:r>
              <w:rPr>
                <w:rFonts w:hint="eastAsia" w:ascii="宋体" w:hAnsi="宋体" w:eastAsia="宋体" w:cs="宋体"/>
                <w:sz w:val="22"/>
                <w:lang w:eastAsia="zh-CN"/>
              </w:rPr>
              <w:t>75.03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4940" w:type="dxa"/>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eastAsia="宋体" w:cs="宋体"/>
                <w:sz w:val="22"/>
                <w:szCs w:val="24"/>
                <w:lang w:val="en-US" w:eastAsia="uk-UA" w:bidi="ar-SA"/>
              </w:rPr>
            </w:pPr>
            <w:r>
              <w:rPr>
                <w:rFonts w:hint="eastAsia" w:ascii="宋体" w:hAnsi="宋体" w:eastAsia="宋体" w:cs="宋体"/>
                <w:sz w:val="22"/>
              </w:rPr>
              <w:t>3、单价在20万元以上的设备</w:t>
            </w:r>
          </w:p>
        </w:tc>
        <w:tc>
          <w:tcPr>
            <w:tcW w:w="4940" w:type="dxa"/>
            <w:vAlign w:val="center"/>
          </w:tcPr>
          <w:p>
            <w:pPr>
              <w:keepNext w:val="0"/>
              <w:keepLines w:val="0"/>
              <w:pageBreakBefore w:val="0"/>
              <w:widowControl/>
              <w:kinsoku/>
              <w:wordWrap/>
              <w:overflowPunct/>
              <w:topLinePunct w:val="0"/>
              <w:autoSpaceDE/>
              <w:autoSpaceDN/>
              <w:bidi w:val="0"/>
              <w:adjustRightInd/>
              <w:snapToGrid/>
              <w:jc w:val="both"/>
              <w:textAlignment w:val="auto"/>
              <w:rPr>
                <w:rFonts w:eastAsia="宋体" w:cs="宋体" w:asciiTheme="minorHAnsi" w:hAnsiTheme="minorHAnsi"/>
                <w:sz w:val="22"/>
                <w:szCs w:val="24"/>
                <w:lang w:val="uk-UA" w:eastAsia="zh-CN" w:bidi="ar-SA"/>
              </w:rPr>
            </w:pPr>
            <w:r>
              <w:rPr>
                <w:rFonts w:hint="eastAsia" w:ascii="宋体" w:hAnsi="宋体" w:eastAsia="宋体" w:cs="宋体"/>
                <w:sz w:val="22"/>
                <w:lang w:eastAsia="zh-CN"/>
              </w:rPr>
              <w:t>0</w:t>
            </w:r>
          </w:p>
        </w:tc>
        <w:tc>
          <w:tcPr>
            <w:tcW w:w="4940" w:type="dxa"/>
            <w:vAlign w:val="center"/>
          </w:tcPr>
          <w:p>
            <w:pPr>
              <w:keepNext w:val="0"/>
              <w:keepLines w:val="0"/>
              <w:pageBreakBefore w:val="0"/>
              <w:widowControl/>
              <w:kinsoku/>
              <w:wordWrap/>
              <w:overflowPunct/>
              <w:topLinePunct w:val="0"/>
              <w:autoSpaceDE/>
              <w:autoSpaceDN/>
              <w:bidi w:val="0"/>
              <w:adjustRightInd/>
              <w:snapToGrid/>
              <w:jc w:val="both"/>
              <w:textAlignment w:val="auto"/>
              <w:rPr>
                <w:rFonts w:eastAsia="宋体" w:cs="宋体" w:asciiTheme="minorHAnsi" w:hAnsiTheme="minorHAnsi"/>
                <w:sz w:val="22"/>
                <w:szCs w:val="24"/>
                <w:lang w:val="uk-UA" w:eastAsia="uk-UA" w:bidi="ar-SA"/>
              </w:rPr>
            </w:pPr>
            <w:r>
              <w:rPr>
                <w:rFonts w:ascii="宋体" w:hAnsi="宋体" w:eastAsia="宋体" w:cs="宋体"/>
                <w:sz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0" w:type="auto"/>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eastAsia="宋体" w:cs="宋体"/>
                <w:sz w:val="22"/>
                <w:szCs w:val="24"/>
                <w:lang w:val="en-US" w:eastAsia="uk-UA" w:bidi="ar-SA"/>
              </w:rPr>
            </w:pPr>
            <w:r>
              <w:rPr>
                <w:rFonts w:hint="eastAsia" w:ascii="宋体" w:hAnsi="宋体" w:eastAsia="宋体" w:cs="宋体"/>
                <w:sz w:val="22"/>
              </w:rPr>
              <w:t>4、其他固定资产</w:t>
            </w:r>
          </w:p>
        </w:tc>
        <w:tc>
          <w:tcPr>
            <w:tcW w:w="0" w:type="auto"/>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宋体" w:hAnsi="宋体" w:eastAsia="宋体" w:cs="宋体"/>
                <w:sz w:val="22"/>
                <w:szCs w:val="24"/>
                <w:lang w:val="en-US" w:eastAsia="uk-UA" w:bidi="ar-SA"/>
              </w:rPr>
            </w:pPr>
            <w:r>
              <w:rPr>
                <w:rFonts w:hint="eastAsia" w:ascii="宋体" w:hAnsi="宋体" w:eastAsia="宋体" w:cs="宋体"/>
                <w:sz w:val="22"/>
                <w:lang w:eastAsia="zh-CN"/>
              </w:rPr>
              <w:t>615</w:t>
            </w:r>
          </w:p>
        </w:tc>
        <w:tc>
          <w:tcPr>
            <w:tcW w:w="0" w:type="auto"/>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宋体" w:hAnsi="宋体" w:eastAsia="宋体" w:cs="宋体"/>
                <w:sz w:val="22"/>
                <w:szCs w:val="24"/>
                <w:lang w:val="en-US" w:eastAsia="uk-UA" w:bidi="ar-SA"/>
              </w:rPr>
            </w:pPr>
            <w:r>
              <w:rPr>
                <w:rFonts w:hint="eastAsia" w:ascii="宋体" w:hAnsi="宋体" w:eastAsia="宋体" w:cs="宋体"/>
                <w:sz w:val="22"/>
                <w:lang w:val="en-US" w:eastAsia="zh-CN"/>
              </w:rPr>
              <w:t>75.83</w:t>
            </w:r>
          </w:p>
        </w:tc>
      </w:tr>
    </w:tbl>
    <w:p>
      <w:pPr>
        <w:keepNext w:val="0"/>
        <w:keepLines w:val="0"/>
        <w:pageBreakBefore w:val="0"/>
        <w:widowControl/>
        <w:kinsoku/>
        <w:wordWrap/>
        <w:overflowPunct/>
        <w:topLinePunct w:val="0"/>
        <w:autoSpaceDE/>
        <w:autoSpaceDN/>
        <w:bidi w:val="0"/>
        <w:adjustRightInd/>
        <w:snapToGrid/>
        <w:spacing w:before="0" w:after="0"/>
        <w:ind w:firstLine="640"/>
        <w:jc w:val="both"/>
        <w:textAlignment w:val="auto"/>
        <w:outlineLvl w:val="9"/>
      </w:pPr>
      <w:r>
        <w:rPr>
          <w:rFonts w:ascii="Times New Roman" w:hAnsi="Times New Roman"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both"/>
        <w:textAlignment w:val="auto"/>
        <w:outlineLvl w:val="2"/>
      </w:pPr>
      <w:bookmarkStart w:id="16" w:name="_Toc_3_3_0000000017"/>
      <w:r>
        <w:rPr>
          <w:rFonts w:ascii="黑体" w:hAnsi="黑体" w:eastAsia="黑体" w:cs="黑体"/>
          <w:color w:val="000000"/>
          <w:sz w:val="32"/>
        </w:rPr>
        <w:t>八、名词解释</w:t>
      </w:r>
      <w:bookmarkEnd w:id="16"/>
      <w:bookmarkStart w:id="18" w:name="_GoBack"/>
      <w:bookmarkEnd w:id="18"/>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w:t>
      </w:r>
      <w:r>
        <w:rPr>
          <w:rFonts w:hint="eastAsia" w:eastAsia="方正仿宋_GBK" w:cs="Times New Roman"/>
          <w:b w:val="0"/>
          <w:color w:val="000000"/>
          <w:sz w:val="28"/>
          <w:lang w:eastAsia="zh-CN"/>
        </w:rPr>
        <w:t>部门</w:t>
      </w:r>
      <w:r>
        <w:rPr>
          <w:rFonts w:ascii="Times New Roman" w:hAnsi="Times New Roman" w:eastAsia="方正仿宋_GBK" w:cs="Times New Roman"/>
          <w:b w:val="0"/>
          <w:color w:val="000000"/>
          <w:sz w:val="28"/>
        </w:rPr>
        <w:t>开展专业业务活动及辅助活动所取得的收入。</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w:t>
      </w:r>
      <w:r>
        <w:rPr>
          <w:rFonts w:hint="eastAsia" w:eastAsia="方正仿宋_GBK" w:cs="Times New Roman"/>
          <w:b w:val="0"/>
          <w:color w:val="000000"/>
          <w:sz w:val="28"/>
          <w:lang w:eastAsia="zh-CN"/>
        </w:rPr>
        <w:t>部门</w:t>
      </w:r>
      <w:r>
        <w:rPr>
          <w:rFonts w:ascii="Times New Roman" w:hAnsi="Times New Roman" w:eastAsia="方正仿宋_GBK" w:cs="Times New Roman"/>
          <w:b w:val="0"/>
          <w:color w:val="000000"/>
          <w:sz w:val="28"/>
        </w:rPr>
        <w:t>上缴上级的支出。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val="en-US" w:eastAsia="zh-CN"/>
        </w:rPr>
        <w:t>市级</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w:t>
      </w:r>
      <w:r>
        <w:rPr>
          <w:rFonts w:hint="eastAsia" w:eastAsia="方正仿宋_GBK" w:cs="Times New Roman"/>
          <w:b w:val="0"/>
          <w:color w:val="000000"/>
          <w:sz w:val="28"/>
          <w:lang w:eastAsia="zh-CN"/>
        </w:rPr>
        <w:t>部门</w:t>
      </w:r>
      <w:r>
        <w:rPr>
          <w:rFonts w:ascii="Times New Roman" w:hAnsi="Times New Roman" w:eastAsia="方正仿宋_GBK" w:cs="Times New Roman"/>
          <w:b w:val="0"/>
          <w:color w:val="000000"/>
          <w:sz w:val="28"/>
        </w:rPr>
        <w:t>公务出国（境）的住宿费、旅费、伙食补助费、杂费、培训费等支出；公务用车购置及运维费反映</w:t>
      </w:r>
      <w:r>
        <w:rPr>
          <w:rFonts w:hint="eastAsia" w:eastAsia="方正仿宋_GBK" w:cs="Times New Roman"/>
          <w:b w:val="0"/>
          <w:color w:val="000000"/>
          <w:sz w:val="28"/>
          <w:lang w:eastAsia="zh-CN"/>
        </w:rPr>
        <w:t>部门</w:t>
      </w:r>
      <w:r>
        <w:rPr>
          <w:rFonts w:ascii="Times New Roman" w:hAnsi="Times New Roman" w:eastAsia="方正仿宋_GBK" w:cs="Times New Roman"/>
          <w:b w:val="0"/>
          <w:color w:val="000000"/>
          <w:sz w:val="28"/>
        </w:rPr>
        <w:t>公务用车购置费及租用费、燃料费、维修费、过路过桥费、保险费、安全奖励费用等支出；公务接待费反映</w:t>
      </w:r>
      <w:r>
        <w:rPr>
          <w:rFonts w:hint="eastAsia" w:eastAsia="方正仿宋_GBK" w:cs="Times New Roman"/>
          <w:b w:val="0"/>
          <w:color w:val="000000"/>
          <w:sz w:val="28"/>
          <w:lang w:eastAsia="zh-CN"/>
        </w:rPr>
        <w:t>部门</w:t>
      </w:r>
      <w:r>
        <w:rPr>
          <w:rFonts w:ascii="Times New Roman" w:hAnsi="Times New Roman" w:eastAsia="方正仿宋_GBK" w:cs="Times New Roman"/>
          <w:b w:val="0"/>
          <w:color w:val="000000"/>
          <w:sz w:val="28"/>
        </w:rPr>
        <w:t>按规定开支的各类公务接待（含外宾接待）支出。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w:t>
      </w:r>
      <w:r>
        <w:rPr>
          <w:rFonts w:hint="eastAsia" w:eastAsia="方正仿宋_GBK" w:cs="Times New Roman"/>
          <w:b/>
          <w:color w:val="000000"/>
          <w:sz w:val="28"/>
          <w:lang w:eastAsia="zh-CN"/>
        </w:rPr>
        <w:t>部门</w:t>
      </w:r>
      <w:r>
        <w:rPr>
          <w:rFonts w:ascii="Times New Roman" w:hAnsi="Times New Roman" w:eastAsia="方正仿宋_GBK" w:cs="Times New Roman"/>
          <w:b/>
          <w:color w:val="000000"/>
          <w:sz w:val="28"/>
        </w:rPr>
        <w:t>经营支出：</w:t>
      </w:r>
      <w:r>
        <w:rPr>
          <w:rFonts w:ascii="Times New Roman" w:hAnsi="Times New Roman" w:eastAsia="方正仿宋_GBK" w:cs="Times New Roman"/>
          <w:b w:val="0"/>
          <w:color w:val="000000"/>
          <w:sz w:val="28"/>
        </w:rPr>
        <w:t>指事业</w:t>
      </w:r>
      <w:r>
        <w:rPr>
          <w:rFonts w:hint="eastAsia" w:eastAsia="方正仿宋_GBK" w:cs="Times New Roman"/>
          <w:b w:val="0"/>
          <w:color w:val="000000"/>
          <w:sz w:val="28"/>
          <w:lang w:eastAsia="zh-CN"/>
        </w:rPr>
        <w:t>部门</w:t>
      </w:r>
      <w:r>
        <w:rPr>
          <w:rFonts w:ascii="Times New Roman" w:hAnsi="Times New Roman" w:eastAsia="方正仿宋_GBK" w:cs="Times New Roman"/>
          <w:b w:val="0"/>
          <w:color w:val="000000"/>
          <w:sz w:val="28"/>
        </w:rPr>
        <w:t>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both"/>
        <w:textAlignment w:val="auto"/>
        <w:outlineLvl w:val="2"/>
      </w:pPr>
      <w:bookmarkStart w:id="17" w:name="_Toc_3_3_0000000018"/>
      <w:r>
        <w:rPr>
          <w:rFonts w:ascii="黑体" w:hAnsi="黑体" w:eastAsia="黑体" w:cs="黑体"/>
          <w:color w:val="000000"/>
          <w:sz w:val="32"/>
        </w:rPr>
        <w:t>九、其他需要说明的事项</w:t>
      </w:r>
      <w:bookmarkEnd w:id="17"/>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A4940FA8-91F1-45DA-A3C3-DBC5A1B5780F}"/>
  </w:font>
  <w:font w:name="黑体">
    <w:panose1 w:val="02010609060101010101"/>
    <w:charset w:val="86"/>
    <w:family w:val="auto"/>
    <w:pitch w:val="default"/>
    <w:sig w:usb0="800002BF" w:usb1="38CF7CFA" w:usb2="00000016" w:usb3="00000000" w:csb0="00040001" w:csb1="00000000"/>
    <w:embedRegular r:id="rId2" w:fontKey="{4FDD1352-01BD-46F4-A940-1C64B5A15B0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34A50D73-767E-4789-9F01-72B132D660FA}"/>
  </w:font>
  <w:font w:name="方正仿宋_GBK">
    <w:altName w:val="微软雅黑"/>
    <w:panose1 w:val="00000000000000000000"/>
    <w:charset w:val="00"/>
    <w:family w:val="auto"/>
    <w:pitch w:val="default"/>
    <w:sig w:usb0="00000000" w:usb1="00000000" w:usb2="00000000" w:usb3="00000000" w:csb0="00000000" w:csb1="00000000"/>
    <w:embedRegular r:id="rId4" w:fontKey="{74205C04-8C87-4E3B-8FC0-555FC7447B8C}"/>
  </w:font>
  <w:font w:name="方正小标宋_GBK">
    <w:altName w:val="微软雅黑"/>
    <w:panose1 w:val="00000000000000000000"/>
    <w:charset w:val="00"/>
    <w:family w:val="auto"/>
    <w:pitch w:val="default"/>
    <w:sig w:usb0="00000000" w:usb1="00000000" w:usb2="00000000" w:usb3="00000000" w:csb0="00000000" w:csb1="00000000"/>
    <w:embedRegular r:id="rId5" w:fontKey="{79CFB36A-40C3-4D6F-BFF8-925DDB5AB441}"/>
  </w:font>
  <w:font w:name="方正书宋_GBK">
    <w:panose1 w:val="02000000000000000000"/>
    <w:charset w:val="86"/>
    <w:family w:val="auto"/>
    <w:pitch w:val="default"/>
    <w:sig w:usb0="A00002BF" w:usb1="38CF7CFA" w:usb2="00082016" w:usb3="00000000" w:csb0="00040001" w:csb1="00000000"/>
    <w:embedRegular r:id="rId6" w:fontKey="{0F80BFAE-2BCC-4DEA-BF9A-BAD5EC7F7888}"/>
  </w:font>
  <w:font w:name="方正楷体_GBK">
    <w:altName w:val="微软雅黑"/>
    <w:panose1 w:val="00000000000000000000"/>
    <w:charset w:val="00"/>
    <w:family w:val="auto"/>
    <w:pitch w:val="default"/>
    <w:sig w:usb0="00000000" w:usb1="00000000" w:usb2="00000000" w:usb3="00000000" w:csb0="00000000" w:csb1="00000000"/>
    <w:embedRegular r:id="rId7" w:fontKey="{C8A3DEC7-DD2D-4F8F-9D01-AB4258C36B27}"/>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AFEA86"/>
    <w:multiLevelType w:val="singleLevel"/>
    <w:tmpl w:val="70AFEA8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jc0Y2U2Y2Y5ZDcyOWVhMDk4MDIzODcyMDZmMDBmN2IifQ=="/>
  </w:docVars>
  <w:rsids>
    <w:rsidRoot w:val="00000000"/>
    <w:rsid w:val="072518F3"/>
    <w:rsid w:val="07FF2319"/>
    <w:rsid w:val="0EC9162A"/>
    <w:rsid w:val="10370E8A"/>
    <w:rsid w:val="18386F20"/>
    <w:rsid w:val="1DE84B06"/>
    <w:rsid w:val="28E710DD"/>
    <w:rsid w:val="2B3400CE"/>
    <w:rsid w:val="3F253F62"/>
    <w:rsid w:val="46983C4D"/>
    <w:rsid w:val="56155625"/>
    <w:rsid w:val="607615AD"/>
    <w:rsid w:val="67BC7A26"/>
    <w:rsid w:val="7C471A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5" Type="http://schemas.openxmlformats.org/officeDocument/2006/relationships/fontTable" Target="fontTable.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2023-02-24T11:24:37Z</dcterms:created>
  <dcterms:modified xsi:type="dcterms:W3CDTF">2023-02-24T03:24:37Z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2023-02-24T11:24:36Z</dcterms:created>
  <dcterms:modified xsi:type="dcterms:W3CDTF">2023-02-24T03:24:36Z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2023-02-24T11:24:36Z</dcterms:created>
  <dcterms:modified xsi:type="dcterms:W3CDTF">2023-02-24T03:24:36Z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2023-02-24T11:24:23Z</dcterms:created>
  <dcterms:modified xsi:type="dcterms:W3CDTF">2023-02-24T03:24:23Z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2023-02-24T11:24:26Z</dcterms:created>
  <dcterms:modified xsi:type="dcterms:W3CDTF">2023-02-24T03:24:26Z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2023-02-24T11:24:36Z</dcterms:created>
  <dcterms:modified xsi:type="dcterms:W3CDTF">2023-02-24T03:24:36Z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2023-02-24T11:24:36Z</dcterms:created>
  <dcterms:modified xsi:type="dcterms:W3CDTF">2023-02-24T03:24:36Z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2023-02-24T11:24:36Z</dcterms:created>
  <dcterms:modified xsi:type="dcterms:W3CDTF">2023-02-24T03:24:36Z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2023-02-24T11:24:35Z</dcterms:created>
  <dcterms:modified xsi:type="dcterms:W3CDTF">2023-02-24T03:24:35Z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2023-02-24T11:24:35Z</dcterms:created>
  <dcterms:modified xsi:type="dcterms:W3CDTF">2023-02-24T03:24:35Z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2023-02-24T11:24:35Z</dcterms:created>
  <dcterms:modified xsi:type="dcterms:W3CDTF">2023-02-24T03:24:35Z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2023-02-24T11:24:26Z</dcterms:created>
  <dcterms:modified xsi:type="dcterms:W3CDTF">2023-02-24T03:24:26Z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2023-02-24T11:24:35Z</dcterms:created>
  <dcterms:modified xsi:type="dcterms:W3CDTF">2023-02-24T03:24:35Z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2023-02-24T11:24:35Z</dcterms:created>
  <dcterms:modified xsi:type="dcterms:W3CDTF">2023-02-24T03:24:35Z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2023-02-24T11:24:25Z</dcterms:created>
  <dcterms:modified xsi:type="dcterms:W3CDTF">2023-02-24T03:24:25Z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2023-02-24T11:24:35Z</dcterms:created>
  <dcterms:modified xsi:type="dcterms:W3CDTF">2023-02-24T03:24:35Z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2023-02-24T11:24:35Z</dcterms:created>
  <dcterms:modified xsi:type="dcterms:W3CDTF">2023-02-24T03:24:35Z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2023-02-24T11:24:34Z</dcterms:created>
  <dcterms:modified xsi:type="dcterms:W3CDTF">2023-02-24T03:24:34Z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2023-02-24T11:24:34Z</dcterms:created>
  <dcterms:modified xsi:type="dcterms:W3CDTF">2023-02-24T03:24:34Z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2023-02-24T11:24:32Z</dcterms:created>
  <dcterms:modified xsi:type="dcterms:W3CDTF">2023-02-24T03:24:32Z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2023-02-24T11:24:28Z</dcterms:created>
  <dcterms:modified xsi:type="dcterms:W3CDTF">2023-02-24T03:24:28Z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2023-02-24T11:24:27Z</dcterms:created>
  <dcterms:modified xsi:type="dcterms:W3CDTF">2023-02-24T03:24:27Z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2023-02-24T11:24:27Z</dcterms:created>
  <dcterms:modified xsi:type="dcterms:W3CDTF">2023-02-24T03:24:27Z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2023-02-24T11:24:27Z</dcterms:created>
  <dcterms:modified xsi:type="dcterms:W3CDTF">2023-02-24T03:24:27Z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2023-02-24T11:24:27Z</dcterms:created>
  <dcterms:modified xsi:type="dcterms:W3CDTF">2023-02-24T03:24:27Z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2023-02-24T11:24:25Z</dcterms:created>
  <dcterms:modified xsi:type="dcterms:W3CDTF">2023-02-24T03:24:25Z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2023-02-24T11:24:27Z</dcterms:created>
  <dcterms:modified xsi:type="dcterms:W3CDTF">2023-02-24T03:24:27Z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2023-02-24T11:24:27Z</dcterms:created>
  <dcterms:modified xsi:type="dcterms:W3CDTF">2023-02-24T03:24:27Z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2023-02-24T11:24:25Z</dcterms:created>
  <dcterms:modified xsi:type="dcterms:W3CDTF">2023-02-24T03:24:25Z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2023-02-24T11:24:26Z</dcterms:created>
  <dcterms:modified xsi:type="dcterms:W3CDTF">2023-02-24T03:24:26Z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2023-02-24T11:24:26Z</dcterms:created>
  <dcterms:modified xsi:type="dcterms:W3CDTF">2023-02-24T03:24:26Z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2023-02-24T11:24:37Z</dcterms:created>
  <dcterms:modified xsi:type="dcterms:W3CDTF">2023-02-24T03:24:37Z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2023-02-24T11:24:25Z</dcterms:created>
  <dcterms:modified xsi:type="dcterms:W3CDTF">2023-02-24T03:24:25Z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2023-02-24T11:24:26Z</dcterms:created>
  <dcterms:modified xsi:type="dcterms:W3CDTF">2023-02-24T03:24:26Z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2023-02-24T11:24:26Z</dcterms:created>
  <dcterms:modified xsi:type="dcterms:W3CDTF">2023-02-24T03:24:26Z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2023-02-24T11:24:26Z</dcterms:created>
  <dcterms:modified xsi:type="dcterms:W3CDTF">2023-02-24T03:24:26Z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2023-02-24T11:24:26Z</dcterms:created>
  <dcterms:modified xsi:type="dcterms:W3CDTF">2023-02-24T03:24:26Z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2023-02-24T11:24:36Z</dcterms:created>
  <dcterms:modified xsi:type="dcterms:W3CDTF">2023-02-24T03:24:36Z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2023-02-24T11:24:36Z</dcterms:created>
  <dcterms:modified xsi:type="dcterms:W3CDTF">2023-02-24T03:24:36Z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74358f6-44a5-46c3-b59e-cd76c5c693eb}">
  <ds:schemaRefs/>
</ds:datastoreItem>
</file>

<file path=customXml/itemProps10.xml><?xml version="1.0" encoding="utf-8"?>
<ds:datastoreItem xmlns:ds="http://schemas.openxmlformats.org/officeDocument/2006/customXml" ds:itemID="{d5f40303-8c08-4569-9d35-1308fbe1bda8}">
  <ds:schemaRefs/>
</ds:datastoreItem>
</file>

<file path=customXml/itemProps11.xml><?xml version="1.0" encoding="utf-8"?>
<ds:datastoreItem xmlns:ds="http://schemas.openxmlformats.org/officeDocument/2006/customXml" ds:itemID="{8e8a1ec6-e9e1-4a01-a87d-5058c7d79596}">
  <ds:schemaRefs/>
</ds:datastoreItem>
</file>

<file path=customXml/itemProps12.xml><?xml version="1.0" encoding="utf-8"?>
<ds:datastoreItem xmlns:ds="http://schemas.openxmlformats.org/officeDocument/2006/customXml" ds:itemID="{b994dee5-d64a-45a4-8317-f3838e695ccd}">
  <ds:schemaRefs/>
</ds:datastoreItem>
</file>

<file path=customXml/itemProps13.xml><?xml version="1.0" encoding="utf-8"?>
<ds:datastoreItem xmlns:ds="http://schemas.openxmlformats.org/officeDocument/2006/customXml" ds:itemID="{1bb9e38e-be78-4e4f-9e8f-cfbf16b8c08c}">
  <ds:schemaRefs/>
</ds:datastoreItem>
</file>

<file path=customXml/itemProps14.xml><?xml version="1.0" encoding="utf-8"?>
<ds:datastoreItem xmlns:ds="http://schemas.openxmlformats.org/officeDocument/2006/customXml" ds:itemID="{06adfb9d-97fa-423a-8793-8fed25f751cb}">
  <ds:schemaRefs/>
</ds:datastoreItem>
</file>

<file path=customXml/itemProps15.xml><?xml version="1.0" encoding="utf-8"?>
<ds:datastoreItem xmlns:ds="http://schemas.openxmlformats.org/officeDocument/2006/customXml" ds:itemID="{0be3fba0-d3ed-4d08-afa5-48d621b833d0}">
  <ds:schemaRefs/>
</ds:datastoreItem>
</file>

<file path=customXml/itemProps16.xml><?xml version="1.0" encoding="utf-8"?>
<ds:datastoreItem xmlns:ds="http://schemas.openxmlformats.org/officeDocument/2006/customXml" ds:itemID="{743c4837-b047-4b98-ab8b-30e4f638fce6}">
  <ds:schemaRefs/>
</ds:datastoreItem>
</file>

<file path=customXml/itemProps17.xml><?xml version="1.0" encoding="utf-8"?>
<ds:datastoreItem xmlns:ds="http://schemas.openxmlformats.org/officeDocument/2006/customXml" ds:itemID="{e8de6e88-afd9-42cf-8d28-9c14a1e86657}">
  <ds:schemaRefs/>
</ds:datastoreItem>
</file>

<file path=customXml/itemProps18.xml><?xml version="1.0" encoding="utf-8"?>
<ds:datastoreItem xmlns:ds="http://schemas.openxmlformats.org/officeDocument/2006/customXml" ds:itemID="{7f03ecf8-d37c-4c56-aeb6-7ed22664966a}">
  <ds:schemaRefs/>
</ds:datastoreItem>
</file>

<file path=customXml/itemProps19.xml><?xml version="1.0" encoding="utf-8"?>
<ds:datastoreItem xmlns:ds="http://schemas.openxmlformats.org/officeDocument/2006/customXml" ds:itemID="{8c35a070-c824-418e-9b30-d02604741f0e}">
  <ds:schemaRefs/>
</ds:datastoreItem>
</file>

<file path=customXml/itemProps2.xml><?xml version="1.0" encoding="utf-8"?>
<ds:datastoreItem xmlns:ds="http://schemas.openxmlformats.org/officeDocument/2006/customXml" ds:itemID="{3d359da8-de9e-48c3-9ab8-0a819d6457c8}">
  <ds:schemaRefs/>
</ds:datastoreItem>
</file>

<file path=customXml/itemProps20.xml><?xml version="1.0" encoding="utf-8"?>
<ds:datastoreItem xmlns:ds="http://schemas.openxmlformats.org/officeDocument/2006/customXml" ds:itemID="{74627e41-81a3-4712-8fda-f29d1a494b5c}">
  <ds:schemaRefs/>
</ds:datastoreItem>
</file>

<file path=customXml/itemProps21.xml><?xml version="1.0" encoding="utf-8"?>
<ds:datastoreItem xmlns:ds="http://schemas.openxmlformats.org/officeDocument/2006/customXml" ds:itemID="{b23569b3-05a9-469a-932c-688bef114021}">
  <ds:schemaRefs/>
</ds:datastoreItem>
</file>

<file path=customXml/itemProps22.xml><?xml version="1.0" encoding="utf-8"?>
<ds:datastoreItem xmlns:ds="http://schemas.openxmlformats.org/officeDocument/2006/customXml" ds:itemID="{5a5b3d66-2ead-49e3-ad43-180eab01af62}">
  <ds:schemaRefs/>
</ds:datastoreItem>
</file>

<file path=customXml/itemProps23.xml><?xml version="1.0" encoding="utf-8"?>
<ds:datastoreItem xmlns:ds="http://schemas.openxmlformats.org/officeDocument/2006/customXml" ds:itemID="{9a887b7a-57c8-4356-8234-c5042ebc2ebc}">
  <ds:schemaRefs/>
</ds:datastoreItem>
</file>

<file path=customXml/itemProps24.xml><?xml version="1.0" encoding="utf-8"?>
<ds:datastoreItem xmlns:ds="http://schemas.openxmlformats.org/officeDocument/2006/customXml" ds:itemID="{4b8a37b3-c9cf-4101-88ce-f742c768628f}">
  <ds:schemaRefs/>
</ds:datastoreItem>
</file>

<file path=customXml/itemProps25.xml><?xml version="1.0" encoding="utf-8"?>
<ds:datastoreItem xmlns:ds="http://schemas.openxmlformats.org/officeDocument/2006/customXml" ds:itemID="{3ea68cb5-baef-403f-9e44-3f9036283584}">
  <ds:schemaRefs/>
</ds:datastoreItem>
</file>

<file path=customXml/itemProps26.xml><?xml version="1.0" encoding="utf-8"?>
<ds:datastoreItem xmlns:ds="http://schemas.openxmlformats.org/officeDocument/2006/customXml" ds:itemID="{350006f1-7672-4f8d-8cf6-d87790a0dcda}">
  <ds:schemaRefs/>
</ds:datastoreItem>
</file>

<file path=customXml/itemProps27.xml><?xml version="1.0" encoding="utf-8"?>
<ds:datastoreItem xmlns:ds="http://schemas.openxmlformats.org/officeDocument/2006/customXml" ds:itemID="{fc41ea10-dc4e-4678-9277-ce8a40abd9a5}">
  <ds:schemaRefs/>
</ds:datastoreItem>
</file>

<file path=customXml/itemProps28.xml><?xml version="1.0" encoding="utf-8"?>
<ds:datastoreItem xmlns:ds="http://schemas.openxmlformats.org/officeDocument/2006/customXml" ds:itemID="{c999acdb-5ae3-4a1f-9d5e-2b4a3532fd8b}">
  <ds:schemaRefs/>
</ds:datastoreItem>
</file>

<file path=customXml/itemProps29.xml><?xml version="1.0" encoding="utf-8"?>
<ds:datastoreItem xmlns:ds="http://schemas.openxmlformats.org/officeDocument/2006/customXml" ds:itemID="{be0353b7-b457-49f6-92bc-d2f21fe65087}">
  <ds:schemaRefs/>
</ds:datastoreItem>
</file>

<file path=customXml/itemProps3.xml><?xml version="1.0" encoding="utf-8"?>
<ds:datastoreItem xmlns:ds="http://schemas.openxmlformats.org/officeDocument/2006/customXml" ds:itemID="{f2764214-507a-441f-8dce-892a8fdb7f3f}">
  <ds:schemaRefs/>
</ds:datastoreItem>
</file>

<file path=customXml/itemProps30.xml><?xml version="1.0" encoding="utf-8"?>
<ds:datastoreItem xmlns:ds="http://schemas.openxmlformats.org/officeDocument/2006/customXml" ds:itemID="{6ed1bd8e-75fa-473f-ba78-477d7c3e5abb}">
  <ds:schemaRefs/>
</ds:datastoreItem>
</file>

<file path=customXml/itemProps31.xml><?xml version="1.0" encoding="utf-8"?>
<ds:datastoreItem xmlns:ds="http://schemas.openxmlformats.org/officeDocument/2006/customXml" ds:itemID="{9afae4b0-aa18-4557-abaa-ae2ca7c7340e}">
  <ds:schemaRefs/>
</ds:datastoreItem>
</file>

<file path=customXml/itemProps32.xml><?xml version="1.0" encoding="utf-8"?>
<ds:datastoreItem xmlns:ds="http://schemas.openxmlformats.org/officeDocument/2006/customXml" ds:itemID="{2f48bb7b-65bd-44c2-afdd-8abc6b68855a}">
  <ds:schemaRefs/>
</ds:datastoreItem>
</file>

<file path=customXml/itemProps33.xml><?xml version="1.0" encoding="utf-8"?>
<ds:datastoreItem xmlns:ds="http://schemas.openxmlformats.org/officeDocument/2006/customXml" ds:itemID="{eb900f17-362a-4ca3-8054-59e22fc80632}">
  <ds:schemaRefs/>
</ds:datastoreItem>
</file>

<file path=customXml/itemProps34.xml><?xml version="1.0" encoding="utf-8"?>
<ds:datastoreItem xmlns:ds="http://schemas.openxmlformats.org/officeDocument/2006/customXml" ds:itemID="{897861f8-a2ab-49cd-ae4c-61c703f8c177}">
  <ds:schemaRefs/>
</ds:datastoreItem>
</file>

<file path=customXml/itemProps35.xml><?xml version="1.0" encoding="utf-8"?>
<ds:datastoreItem xmlns:ds="http://schemas.openxmlformats.org/officeDocument/2006/customXml" ds:itemID="{2134189d-696a-4b52-a36a-ab766becb59f}">
  <ds:schemaRefs/>
</ds:datastoreItem>
</file>

<file path=customXml/itemProps36.xml><?xml version="1.0" encoding="utf-8"?>
<ds:datastoreItem xmlns:ds="http://schemas.openxmlformats.org/officeDocument/2006/customXml" ds:itemID="{3d5f0efd-0973-4379-b658-2e0bcd134f82}">
  <ds:schemaRefs/>
</ds:datastoreItem>
</file>

<file path=customXml/itemProps37.xml><?xml version="1.0" encoding="utf-8"?>
<ds:datastoreItem xmlns:ds="http://schemas.openxmlformats.org/officeDocument/2006/customXml" ds:itemID="{49953545-13e6-4f14-be75-c4631c13de74}">
  <ds:schemaRefs/>
</ds:datastoreItem>
</file>

<file path=customXml/itemProps38.xml><?xml version="1.0" encoding="utf-8"?>
<ds:datastoreItem xmlns:ds="http://schemas.openxmlformats.org/officeDocument/2006/customXml" ds:itemID="{f7f22d3e-b0be-4322-834d-4fa71d93106d}">
  <ds:schemaRefs/>
</ds:datastoreItem>
</file>

<file path=customXml/itemProps39.xml><?xml version="1.0" encoding="utf-8"?>
<ds:datastoreItem xmlns:ds="http://schemas.openxmlformats.org/officeDocument/2006/customXml" ds:itemID="{303435e0-088f-404e-bc1a-10f56415c6de}">
  <ds:schemaRefs/>
</ds:datastoreItem>
</file>

<file path=customXml/itemProps4.xml><?xml version="1.0" encoding="utf-8"?>
<ds:datastoreItem xmlns:ds="http://schemas.openxmlformats.org/officeDocument/2006/customXml" ds:itemID="{293e5125-e37c-4fe5-a856-9b9af511f9c1}">
  <ds:schemaRefs/>
</ds:datastoreItem>
</file>

<file path=customXml/itemProps40.xml><?xml version="1.0" encoding="utf-8"?>
<ds:datastoreItem xmlns:ds="http://schemas.openxmlformats.org/officeDocument/2006/customXml" ds:itemID="{71d9435f-73f0-4a9f-8062-67a5f7c3f161}">
  <ds:schemaRefs/>
</ds:datastoreItem>
</file>

<file path=customXml/itemProps41.xml><?xml version="1.0" encoding="utf-8"?>
<ds:datastoreItem xmlns:ds="http://schemas.openxmlformats.org/officeDocument/2006/customXml" ds:itemID="{8cb70ca4-cbd8-42ea-bc45-6fee6c6d9566}">
  <ds:schemaRefs/>
</ds:datastoreItem>
</file>

<file path=customXml/itemProps42.xml><?xml version="1.0" encoding="utf-8"?>
<ds:datastoreItem xmlns:ds="http://schemas.openxmlformats.org/officeDocument/2006/customXml" ds:itemID="{cad75567-6b85-48db-9076-02dfa9b2c0eb}">
  <ds:schemaRefs/>
</ds:datastoreItem>
</file>

<file path=customXml/itemProps43.xml><?xml version="1.0" encoding="utf-8"?>
<ds:datastoreItem xmlns:ds="http://schemas.openxmlformats.org/officeDocument/2006/customXml" ds:itemID="{1f19051e-4cd1-4265-9247-031799aa3eca}">
  <ds:schemaRefs/>
</ds:datastoreItem>
</file>

<file path=customXml/itemProps44.xml><?xml version="1.0" encoding="utf-8"?>
<ds:datastoreItem xmlns:ds="http://schemas.openxmlformats.org/officeDocument/2006/customXml" ds:itemID="{8113bedc-4da6-435b-b540-dcc6dbea9861}">
  <ds:schemaRefs/>
</ds:datastoreItem>
</file>

<file path=customXml/itemProps45.xml><?xml version="1.0" encoding="utf-8"?>
<ds:datastoreItem xmlns:ds="http://schemas.openxmlformats.org/officeDocument/2006/customXml" ds:itemID="{7af3e30a-da7d-4b72-b71e-7c4e61562ed6}">
  <ds:schemaRefs/>
</ds:datastoreItem>
</file>

<file path=customXml/itemProps46.xml><?xml version="1.0" encoding="utf-8"?>
<ds:datastoreItem xmlns:ds="http://schemas.openxmlformats.org/officeDocument/2006/customXml" ds:itemID="{a76283e6-c9f8-4875-b7f1-641e04f15e36}">
  <ds:schemaRefs/>
</ds:datastoreItem>
</file>

<file path=customXml/itemProps47.xml><?xml version="1.0" encoding="utf-8"?>
<ds:datastoreItem xmlns:ds="http://schemas.openxmlformats.org/officeDocument/2006/customXml" ds:itemID="{ac3a99c5-a069-4a44-bdc7-2b72408361b0}">
  <ds:schemaRefs/>
</ds:datastoreItem>
</file>

<file path=customXml/itemProps48.xml><?xml version="1.0" encoding="utf-8"?>
<ds:datastoreItem xmlns:ds="http://schemas.openxmlformats.org/officeDocument/2006/customXml" ds:itemID="{f8da7b18-24cf-435c-bbba-ea5e06d93071}">
  <ds:schemaRefs/>
</ds:datastoreItem>
</file>

<file path=customXml/itemProps49.xml><?xml version="1.0" encoding="utf-8"?>
<ds:datastoreItem xmlns:ds="http://schemas.openxmlformats.org/officeDocument/2006/customXml" ds:itemID="{a1ddf97b-7e67-4288-b6e1-4e368ea85475}">
  <ds:schemaRefs/>
</ds:datastoreItem>
</file>

<file path=customXml/itemProps5.xml><?xml version="1.0" encoding="utf-8"?>
<ds:datastoreItem xmlns:ds="http://schemas.openxmlformats.org/officeDocument/2006/customXml" ds:itemID="{67b309f7-c753-41be-80a0-2ef6b1f56994}">
  <ds:schemaRefs/>
</ds:datastoreItem>
</file>

<file path=customXml/itemProps50.xml><?xml version="1.0" encoding="utf-8"?>
<ds:datastoreItem xmlns:ds="http://schemas.openxmlformats.org/officeDocument/2006/customXml" ds:itemID="{976da064-7d94-47ef-ae43-8efc21ab0c70}">
  <ds:schemaRefs/>
</ds:datastoreItem>
</file>

<file path=customXml/itemProps51.xml><?xml version="1.0" encoding="utf-8"?>
<ds:datastoreItem xmlns:ds="http://schemas.openxmlformats.org/officeDocument/2006/customXml" ds:itemID="{5fb5e298-5097-4e0f-91a9-1c6a49b367fa}">
  <ds:schemaRefs/>
</ds:datastoreItem>
</file>

<file path=customXml/itemProps52.xml><?xml version="1.0" encoding="utf-8"?>
<ds:datastoreItem xmlns:ds="http://schemas.openxmlformats.org/officeDocument/2006/customXml" ds:itemID="{fd7a98d8-feac-4cef-9cac-d1805d3a21cb}">
  <ds:schemaRefs/>
</ds:datastoreItem>
</file>

<file path=customXml/itemProps53.xml><?xml version="1.0" encoding="utf-8"?>
<ds:datastoreItem xmlns:ds="http://schemas.openxmlformats.org/officeDocument/2006/customXml" ds:itemID="{fde7dce8-6640-412a-9870-5610f1ba0de9}">
  <ds:schemaRefs/>
</ds:datastoreItem>
</file>

<file path=customXml/itemProps54.xml><?xml version="1.0" encoding="utf-8"?>
<ds:datastoreItem xmlns:ds="http://schemas.openxmlformats.org/officeDocument/2006/customXml" ds:itemID="{4ace2dc1-5cdb-4e1f-bf5a-5266d017a0ff}">
  <ds:schemaRefs/>
</ds:datastoreItem>
</file>

<file path=customXml/itemProps55.xml><?xml version="1.0" encoding="utf-8"?>
<ds:datastoreItem xmlns:ds="http://schemas.openxmlformats.org/officeDocument/2006/customXml" ds:itemID="{3e78c378-d933-4a0c-989a-83a4840bee2e}">
  <ds:schemaRefs/>
</ds:datastoreItem>
</file>

<file path=customXml/itemProps56.xml><?xml version="1.0" encoding="utf-8"?>
<ds:datastoreItem xmlns:ds="http://schemas.openxmlformats.org/officeDocument/2006/customXml" ds:itemID="{52b83cd1-87fe-4c5d-a535-9330a60e72e0}">
  <ds:schemaRefs/>
</ds:datastoreItem>
</file>

<file path=customXml/itemProps57.xml><?xml version="1.0" encoding="utf-8"?>
<ds:datastoreItem xmlns:ds="http://schemas.openxmlformats.org/officeDocument/2006/customXml" ds:itemID="{22cfa45a-8bfb-4f92-8711-02872631a68e}">
  <ds:schemaRefs/>
</ds:datastoreItem>
</file>

<file path=customXml/itemProps58.xml><?xml version="1.0" encoding="utf-8"?>
<ds:datastoreItem xmlns:ds="http://schemas.openxmlformats.org/officeDocument/2006/customXml" ds:itemID="{49cdab85-6967-459e-9fdd-873384f52fd7}">
  <ds:schemaRefs/>
</ds:datastoreItem>
</file>

<file path=customXml/itemProps59.xml><?xml version="1.0" encoding="utf-8"?>
<ds:datastoreItem xmlns:ds="http://schemas.openxmlformats.org/officeDocument/2006/customXml" ds:itemID="{359c9690-7a9c-4721-b982-eb1a1bb51c73}">
  <ds:schemaRefs/>
</ds:datastoreItem>
</file>

<file path=customXml/itemProps6.xml><?xml version="1.0" encoding="utf-8"?>
<ds:datastoreItem xmlns:ds="http://schemas.openxmlformats.org/officeDocument/2006/customXml" ds:itemID="{854966ae-e234-4277-8419-bd5c8d5d6b1f}">
  <ds:schemaRefs/>
</ds:datastoreItem>
</file>

<file path=customXml/itemProps60.xml><?xml version="1.0" encoding="utf-8"?>
<ds:datastoreItem xmlns:ds="http://schemas.openxmlformats.org/officeDocument/2006/customXml" ds:itemID="{8dd30376-617d-496e-877d-db6f4845d702}">
  <ds:schemaRefs/>
</ds:datastoreItem>
</file>

<file path=customXml/itemProps61.xml><?xml version="1.0" encoding="utf-8"?>
<ds:datastoreItem xmlns:ds="http://schemas.openxmlformats.org/officeDocument/2006/customXml" ds:itemID="{72056e71-7bda-451d-88f5-4b943892f9e8}">
  <ds:schemaRefs/>
</ds:datastoreItem>
</file>

<file path=customXml/itemProps62.xml><?xml version="1.0" encoding="utf-8"?>
<ds:datastoreItem xmlns:ds="http://schemas.openxmlformats.org/officeDocument/2006/customXml" ds:itemID="{240a578e-3ef3-4b49-9e46-e9690b397e83}">
  <ds:schemaRefs/>
</ds:datastoreItem>
</file>

<file path=customXml/itemProps63.xml><?xml version="1.0" encoding="utf-8"?>
<ds:datastoreItem xmlns:ds="http://schemas.openxmlformats.org/officeDocument/2006/customXml" ds:itemID="{5cb6dac3-a054-4510-8581-3f00f350a16b}">
  <ds:schemaRefs/>
</ds:datastoreItem>
</file>

<file path=customXml/itemProps64.xml><?xml version="1.0" encoding="utf-8"?>
<ds:datastoreItem xmlns:ds="http://schemas.openxmlformats.org/officeDocument/2006/customXml" ds:itemID="{005b9c0d-0724-4a26-9c71-9cb0fabdd331}">
  <ds:schemaRefs/>
</ds:datastoreItem>
</file>

<file path=customXml/itemProps65.xml><?xml version="1.0" encoding="utf-8"?>
<ds:datastoreItem xmlns:ds="http://schemas.openxmlformats.org/officeDocument/2006/customXml" ds:itemID="{ccaa99bc-442e-4a8c-befe-cd8b0136a191}">
  <ds:schemaRefs/>
</ds:datastoreItem>
</file>

<file path=customXml/itemProps66.xml><?xml version="1.0" encoding="utf-8"?>
<ds:datastoreItem xmlns:ds="http://schemas.openxmlformats.org/officeDocument/2006/customXml" ds:itemID="{4cdc54b5-47ba-4f68-a0dd-47265228a6b9}">
  <ds:schemaRefs/>
</ds:datastoreItem>
</file>

<file path=customXml/itemProps67.xml><?xml version="1.0" encoding="utf-8"?>
<ds:datastoreItem xmlns:ds="http://schemas.openxmlformats.org/officeDocument/2006/customXml" ds:itemID="{deaf0ea0-883d-4c1e-8b9a-578532a5f65a}">
  <ds:schemaRefs/>
</ds:datastoreItem>
</file>

<file path=customXml/itemProps68.xml><?xml version="1.0" encoding="utf-8"?>
<ds:datastoreItem xmlns:ds="http://schemas.openxmlformats.org/officeDocument/2006/customXml" ds:itemID="{110325ae-fa82-4c15-8c38-efdbdfe1457f}">
  <ds:schemaRefs/>
</ds:datastoreItem>
</file>

<file path=customXml/itemProps69.xml><?xml version="1.0" encoding="utf-8"?>
<ds:datastoreItem xmlns:ds="http://schemas.openxmlformats.org/officeDocument/2006/customXml" ds:itemID="{7cca84be-17fc-4b17-abd8-f6110a195cf9}">
  <ds:schemaRefs/>
</ds:datastoreItem>
</file>

<file path=customXml/itemProps7.xml><?xml version="1.0" encoding="utf-8"?>
<ds:datastoreItem xmlns:ds="http://schemas.openxmlformats.org/officeDocument/2006/customXml" ds:itemID="{e6f4d086-f250-4c97-856b-7af6d3149003}">
  <ds:schemaRefs/>
</ds:datastoreItem>
</file>

<file path=customXml/itemProps70.xml><?xml version="1.0" encoding="utf-8"?>
<ds:datastoreItem xmlns:ds="http://schemas.openxmlformats.org/officeDocument/2006/customXml" ds:itemID="{07cc6989-2dcf-4ce4-aa61-4bc01a6b0cf4}">
  <ds:schemaRefs/>
</ds:datastoreItem>
</file>

<file path=customXml/itemProps71.xml><?xml version="1.0" encoding="utf-8"?>
<ds:datastoreItem xmlns:ds="http://schemas.openxmlformats.org/officeDocument/2006/customXml" ds:itemID="{5b082116-dbd5-4f83-a947-bdf57a41de00}">
  <ds:schemaRefs/>
</ds:datastoreItem>
</file>

<file path=customXml/itemProps72.xml><?xml version="1.0" encoding="utf-8"?>
<ds:datastoreItem xmlns:ds="http://schemas.openxmlformats.org/officeDocument/2006/customXml" ds:itemID="{46f4fcd6-cc83-4d2b-b770-ea6ce6009523}">
  <ds:schemaRefs/>
</ds:datastoreItem>
</file>

<file path=customXml/itemProps73.xml><?xml version="1.0" encoding="utf-8"?>
<ds:datastoreItem xmlns:ds="http://schemas.openxmlformats.org/officeDocument/2006/customXml" ds:itemID="{186c2700-4be0-438c-90b5-49813f302e90}">
  <ds:schemaRefs/>
</ds:datastoreItem>
</file>

<file path=customXml/itemProps74.xml><?xml version="1.0" encoding="utf-8"?>
<ds:datastoreItem xmlns:ds="http://schemas.openxmlformats.org/officeDocument/2006/customXml" ds:itemID="{b89b6b21-16b9-4c46-9e6d-9d4224f2bd56}">
  <ds:schemaRefs/>
</ds:datastoreItem>
</file>

<file path=customXml/itemProps75.xml><?xml version="1.0" encoding="utf-8"?>
<ds:datastoreItem xmlns:ds="http://schemas.openxmlformats.org/officeDocument/2006/customXml" ds:itemID="{6aaaa256-5fb0-4c76-a9e6-e807c1bcb3e2}">
  <ds:schemaRefs/>
</ds:datastoreItem>
</file>

<file path=customXml/itemProps76.xml><?xml version="1.0" encoding="utf-8"?>
<ds:datastoreItem xmlns:ds="http://schemas.openxmlformats.org/officeDocument/2006/customXml" ds:itemID="{3b24fdf3-9124-4724-8866-d4d6a1612871}">
  <ds:schemaRefs/>
</ds:datastoreItem>
</file>

<file path=customXml/itemProps77.xml><?xml version="1.0" encoding="utf-8"?>
<ds:datastoreItem xmlns:ds="http://schemas.openxmlformats.org/officeDocument/2006/customXml" ds:itemID="{b64957dc-0798-4be8-b140-975fd328d3d3}">
  <ds:schemaRefs/>
</ds:datastoreItem>
</file>

<file path=customXml/itemProps78.xml><?xml version="1.0" encoding="utf-8"?>
<ds:datastoreItem xmlns:ds="http://schemas.openxmlformats.org/officeDocument/2006/customXml" ds:itemID="{ebbbadc8-60ac-4bb8-8dd5-233ba00380f6}">
  <ds:schemaRefs/>
</ds:datastoreItem>
</file>

<file path=customXml/itemProps8.xml><?xml version="1.0" encoding="utf-8"?>
<ds:datastoreItem xmlns:ds="http://schemas.openxmlformats.org/officeDocument/2006/customXml" ds:itemID="{8e1c6ab8-d7f4-4893-8bc9-56e421187ecf}">
  <ds:schemaRefs/>
</ds:datastoreItem>
</file>

<file path=customXml/itemProps9.xml><?xml version="1.0" encoding="utf-8"?>
<ds:datastoreItem xmlns:ds="http://schemas.openxmlformats.org/officeDocument/2006/customXml" ds:itemID="{28908240-be25-4bcf-87d6-3494017204bf}">
  <ds:schemaRefs/>
</ds:datastoreItem>
</file>

<file path=docProps/app.xml><?xml version="1.0" encoding="utf-8"?>
<Properties xmlns="http://schemas.openxmlformats.org/officeDocument/2006/extended-properties" xmlns:vt="http://schemas.openxmlformats.org/officeDocument/2006/docPropsVTypes">
  <Pages>56</Pages>
  <Words>17840</Words>
  <Characters>21164</Characters>
  <TotalTime>2</TotalTime>
  <ScaleCrop>false</ScaleCrop>
  <LinksUpToDate>false</LinksUpToDate>
  <CharactersWithSpaces>21467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2023-02-24T11:24:00Z</dcterms:created>
  <dc:creator>huai9</dc:creator>
  <cp:lastModifiedBy>陌上远行</cp:lastModifiedBy>
  <dcterms:modified xsi:type="dcterms:W3CDTF">2023-08-15T13:14:11Z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D29331DF70994028A721AC39E6BC5D84</vt:lpwstr>
  </property>
</Properties>
</file>